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6A25" w:rsidRDefault="00CD6A25"/>
    <w:p w:rsidR="00CD6A25" w:rsidRDefault="00000000">
      <w:pPr>
        <w:pStyle w:val="Heading1"/>
        <w:jc w:val="center"/>
        <w:rPr>
          <w:rFonts w:ascii="Calibri" w:hAnsi="Calibri"/>
          <w:color w:val="auto"/>
          <w:sz w:val="32"/>
          <w:szCs w:val="32"/>
        </w:rPr>
      </w:pPr>
      <w:r>
        <w:rPr>
          <w:rFonts w:ascii="Calibri" w:hAnsi="Calibri"/>
          <w:color w:val="auto"/>
          <w:sz w:val="32"/>
          <w:szCs w:val="32"/>
        </w:rPr>
        <w:t>Executive Summary</w:t>
      </w:r>
    </w:p>
    <w:p w:rsidR="00CD6A25" w:rsidRDefault="00000000">
      <w:pPr>
        <w:pStyle w:val="Heading2"/>
        <w:rPr>
          <w:rFonts w:ascii="Calibri" w:hAnsi="Calibri"/>
          <w:i w:val="0"/>
        </w:rPr>
      </w:pPr>
      <w:r>
        <w:rPr>
          <w:rFonts w:ascii="Calibri" w:hAnsi="Calibri"/>
          <w:i w:val="0"/>
        </w:rPr>
        <w:t>AP-05 Executive Summary - 24 CFR 91.200(c), 91.220(b)</w:t>
      </w:r>
    </w:p>
    <w:p w:rsidR="00CD6A25" w:rsidRDefault="00000000">
      <w:pPr>
        <w:rPr>
          <w:b/>
          <w:sz w:val="24"/>
          <w:szCs w:val="24"/>
        </w:rPr>
      </w:pPr>
      <w:r>
        <w:rPr>
          <w:b/>
          <w:sz w:val="24"/>
          <w:szCs w:val="24"/>
        </w:rPr>
        <w:t>1.</w:t>
      </w:r>
      <w:r>
        <w:rPr>
          <w:b/>
          <w:sz w:val="24"/>
          <w:szCs w:val="24"/>
        </w:rPr>
        <w:tab/>
        <w:t>Introduction</w:t>
      </w:r>
    </w:p>
    <w:p w:rsidR="00CD6A25" w:rsidRDefault="00000000">
      <w:pPr>
        <w:spacing w:beforeAutospacing="1" w:afterAutospacing="1"/>
        <w:rPr>
          <w:rFonts w:cs="Arial"/>
        </w:rPr>
      </w:pPr>
      <w:r>
        <w:rPr>
          <w:rFonts w:cs="Arial"/>
        </w:rPr>
        <w:t xml:space="preserve">The City of Albuquerque is a U.S. Department of Housing and Urban Development (HUD) Entitlement jurisdiction, which means it is eligible for Community Planning and Development (CPD) formula block grant programs. Therefore, the </w:t>
      </w:r>
      <w:proofErr w:type="gramStart"/>
      <w:r>
        <w:rPr>
          <w:rFonts w:cs="Arial"/>
        </w:rPr>
        <w:t>City</w:t>
      </w:r>
      <w:proofErr w:type="gramEnd"/>
      <w:r>
        <w:rPr>
          <w:rFonts w:cs="Arial"/>
        </w:rPr>
        <w:t xml:space="preserve"> must submit a Consolidated Plan and an Annual Action Plan to HUD. Submission of both Plans is necessary to secure Federal Community Development Block Grant (CDBG), HOME Investment Partnerships (HOME), and Emergency Solutions Grant (ESG) funds. The Consolidated Plan provides HUD with a comprehensive assessment of the City’s housing and community development needs and outlines the City’s priorities, objectives and strategies for the investment of CDBG, HOME, and ESG funds to address these needs over a five-year period. The current Consolidated Plan covers the time period from July 1, 2023 through June 30, 2028. The Program Year (PY) 2025 Action Plan is the third Action Plan to be submitted under the City's 2023 - 2027 Consolidated Plan, outlining the City's goals from July 1, 2025 – June 30, 2026. The Action Plan follows the priorities set out in the Consolidated Plan which were developed after extensive community input and analysis of the existing data at the time.</w:t>
      </w:r>
    </w:p>
    <w:p w:rsidR="00CD6A25" w:rsidRDefault="00000000">
      <w:pPr>
        <w:rPr>
          <w:b/>
          <w:sz w:val="24"/>
          <w:szCs w:val="24"/>
        </w:rPr>
      </w:pPr>
      <w:r>
        <w:rPr>
          <w:b/>
          <w:sz w:val="24"/>
          <w:szCs w:val="24"/>
        </w:rPr>
        <w:t>2.</w:t>
      </w:r>
      <w:r>
        <w:rPr>
          <w:b/>
          <w:sz w:val="24"/>
          <w:szCs w:val="24"/>
        </w:rPr>
        <w:tab/>
        <w:t xml:space="preserve">Summarize the objectives and outcomes identified in the Plan  </w:t>
      </w:r>
    </w:p>
    <w:p w:rsidR="00CD6A25" w:rsidRDefault="00000000">
      <w:pPr>
        <w:rPr>
          <w:b/>
          <w:sz w:val="24"/>
          <w:szCs w:val="24"/>
        </w:rPr>
      </w:pPr>
      <w:r>
        <w:rPr>
          <w:sz w:val="24"/>
          <w:szCs w:val="24"/>
        </w:rPr>
        <w:t>This could be a restatement of items or a table listed elsewhere in the plan or a reference to another location.</w:t>
      </w:r>
      <w:r>
        <w:t xml:space="preserve"> </w:t>
      </w:r>
      <w:r>
        <w:rPr>
          <w:sz w:val="24"/>
          <w:szCs w:val="24"/>
        </w:rPr>
        <w:t>It may also contain any essential items from the housing and homeless needs assessment, the housing market analysis or the strategic plan.</w:t>
      </w:r>
    </w:p>
    <w:p w:rsidR="00CD6A25" w:rsidRDefault="00000000">
      <w:pPr>
        <w:spacing w:beforeAutospacing="1" w:afterAutospacing="1"/>
        <w:rPr>
          <w:rFonts w:cs="Arial"/>
        </w:rPr>
      </w:pPr>
      <w:r>
        <w:rPr>
          <w:rFonts w:cs="Arial"/>
        </w:rPr>
        <w:t>Priority needs for the 2023-2027 five-year Consolidated Plan were identified through focus group discussions, interviews, a community survey and other relevant data. High priority needs included both housing and non-housing related needs. The priority needs identified are:  Affordable Housing Preservation, Affordable Housing Development, Affordable Homeownership Opportunities, Homeless Prevention Programs, Homeless Services and Programs, Public Facilities and Infrastructure, Public Services and Economic Development Opportunities. </w:t>
      </w:r>
    </w:p>
    <w:p w:rsidR="00CD6A25" w:rsidRDefault="00000000">
      <w:pPr>
        <w:spacing w:beforeAutospacing="1" w:afterAutospacing="1"/>
        <w:rPr>
          <w:rFonts w:cs="Arial"/>
        </w:rPr>
      </w:pPr>
      <w:r>
        <w:rPr>
          <w:rFonts w:cs="Arial"/>
        </w:rPr>
        <w:t>Consistent with HUD’s national goals for the CDBG, HOME and ESG programs to provide decent housing opportunities, maintain a suitable living environment and expand economic opportunities for low- and moderate-income residents, the priority needs listed above will continue to be addressed through the PY 2025 Action Plan.</w:t>
      </w:r>
    </w:p>
    <w:p w:rsidR="00CD6A25" w:rsidRDefault="00000000">
      <w:pPr>
        <w:rPr>
          <w:b/>
          <w:sz w:val="24"/>
          <w:szCs w:val="24"/>
        </w:rPr>
      </w:pPr>
      <w:r>
        <w:rPr>
          <w:b/>
          <w:sz w:val="24"/>
          <w:szCs w:val="24"/>
        </w:rPr>
        <w:t>3.</w:t>
      </w:r>
      <w:r>
        <w:rPr>
          <w:b/>
          <w:sz w:val="24"/>
          <w:szCs w:val="24"/>
        </w:rPr>
        <w:tab/>
        <w:t xml:space="preserve">Evaluation of past performance </w:t>
      </w:r>
    </w:p>
    <w:p w:rsidR="00CD6A25" w:rsidRDefault="00000000">
      <w:pPr>
        <w:rPr>
          <w:b/>
          <w:sz w:val="24"/>
          <w:szCs w:val="24"/>
        </w:rPr>
      </w:pPr>
      <w:r>
        <w:rPr>
          <w:sz w:val="24"/>
          <w:szCs w:val="24"/>
        </w:rPr>
        <w:lastRenderedPageBreak/>
        <w:t>This is an evaluation of past performance that helped lead the grantee to choose its goals or projects.</w:t>
      </w:r>
    </w:p>
    <w:p w:rsidR="00CD6A25" w:rsidRDefault="00000000">
      <w:pPr>
        <w:spacing w:beforeAutospacing="1" w:afterAutospacing="1"/>
        <w:rPr>
          <w:rFonts w:cs="Arial"/>
        </w:rPr>
      </w:pPr>
      <w:r>
        <w:rPr>
          <w:rFonts w:cs="Arial"/>
        </w:rPr>
        <w:t xml:space="preserve">Progress has been made during the past two years of the current five-year Consolidated Plan. With other federal, state and local funding, HUD resources allowed the </w:t>
      </w:r>
      <w:proofErr w:type="gramStart"/>
      <w:r>
        <w:rPr>
          <w:rFonts w:cs="Arial"/>
        </w:rPr>
        <w:t>City</w:t>
      </w:r>
      <w:proofErr w:type="gramEnd"/>
      <w:r>
        <w:rPr>
          <w:rFonts w:cs="Arial"/>
        </w:rPr>
        <w:t xml:space="preserve">, with its many partners, to continue to make positive impacts in the community. During the current Consolidated Plan, the </w:t>
      </w:r>
      <w:proofErr w:type="gramStart"/>
      <w:r>
        <w:rPr>
          <w:rFonts w:cs="Arial"/>
        </w:rPr>
        <w:t>City</w:t>
      </w:r>
      <w:proofErr w:type="gramEnd"/>
      <w:r>
        <w:rPr>
          <w:rFonts w:cs="Arial"/>
        </w:rPr>
        <w:t xml:space="preserve"> has made progress towards accomplishing the following goals: </w:t>
      </w:r>
    </w:p>
    <w:p w:rsidR="00CD6A25" w:rsidRDefault="00000000">
      <w:pPr>
        <w:numPr>
          <w:ilvl w:val="0"/>
          <w:numId w:val="3"/>
        </w:numPr>
        <w:spacing w:beforeAutospacing="1" w:afterAutospacing="1"/>
        <w:rPr>
          <w:rFonts w:cs="Arial"/>
        </w:rPr>
      </w:pPr>
      <w:r>
        <w:rPr>
          <w:rFonts w:cs="Arial"/>
        </w:rPr>
        <w:t>Preserving the current affordable housing supply </w:t>
      </w:r>
    </w:p>
    <w:p w:rsidR="00CD6A25" w:rsidRDefault="00000000">
      <w:pPr>
        <w:numPr>
          <w:ilvl w:val="0"/>
          <w:numId w:val="3"/>
        </w:numPr>
        <w:spacing w:beforeAutospacing="1" w:afterAutospacing="1"/>
        <w:rPr>
          <w:rFonts w:cs="Arial"/>
        </w:rPr>
      </w:pPr>
      <w:r>
        <w:rPr>
          <w:rFonts w:cs="Arial"/>
        </w:rPr>
        <w:t>Increasing access to safe, decent, and affordable housing for low- to moderate-income residents</w:t>
      </w:r>
    </w:p>
    <w:p w:rsidR="00CD6A25" w:rsidRDefault="00000000">
      <w:pPr>
        <w:numPr>
          <w:ilvl w:val="0"/>
          <w:numId w:val="3"/>
        </w:numPr>
        <w:spacing w:beforeAutospacing="1" w:afterAutospacing="1"/>
        <w:rPr>
          <w:rFonts w:cs="Arial"/>
        </w:rPr>
      </w:pPr>
      <w:r>
        <w:rPr>
          <w:rFonts w:cs="Arial"/>
        </w:rPr>
        <w:t>Creating affordable homeownership opportunities for low- to moderate-income residents </w:t>
      </w:r>
    </w:p>
    <w:p w:rsidR="00CD6A25" w:rsidRDefault="00000000">
      <w:pPr>
        <w:numPr>
          <w:ilvl w:val="0"/>
          <w:numId w:val="3"/>
        </w:numPr>
        <w:spacing w:beforeAutospacing="1" w:afterAutospacing="1"/>
        <w:rPr>
          <w:rFonts w:cs="Arial"/>
        </w:rPr>
      </w:pPr>
      <w:r>
        <w:rPr>
          <w:rFonts w:cs="Arial"/>
        </w:rPr>
        <w:t>Increasing access to homeless prevention programs</w:t>
      </w:r>
    </w:p>
    <w:p w:rsidR="00CD6A25" w:rsidRDefault="00000000">
      <w:pPr>
        <w:numPr>
          <w:ilvl w:val="0"/>
          <w:numId w:val="3"/>
        </w:numPr>
        <w:spacing w:beforeAutospacing="1" w:afterAutospacing="1"/>
        <w:rPr>
          <w:rFonts w:cs="Arial"/>
        </w:rPr>
      </w:pPr>
      <w:r>
        <w:rPr>
          <w:rFonts w:cs="Arial"/>
        </w:rPr>
        <w:t>Reducing homelessness by increasing access to homeless services and programs </w:t>
      </w:r>
    </w:p>
    <w:p w:rsidR="00CD6A25" w:rsidRDefault="00000000">
      <w:pPr>
        <w:numPr>
          <w:ilvl w:val="0"/>
          <w:numId w:val="3"/>
        </w:numPr>
        <w:spacing w:beforeAutospacing="1" w:afterAutospacing="1"/>
        <w:rPr>
          <w:rFonts w:cs="Arial"/>
        </w:rPr>
      </w:pPr>
      <w:r>
        <w:rPr>
          <w:rFonts w:cs="Arial"/>
        </w:rPr>
        <w:t>Enhancing and developing public facilities and infrastructure in the city</w:t>
      </w:r>
    </w:p>
    <w:p w:rsidR="00CD6A25" w:rsidRDefault="00000000">
      <w:pPr>
        <w:numPr>
          <w:ilvl w:val="0"/>
          <w:numId w:val="3"/>
        </w:numPr>
        <w:spacing w:beforeAutospacing="1" w:afterAutospacing="1"/>
        <w:rPr>
          <w:rFonts w:cs="Arial"/>
        </w:rPr>
      </w:pPr>
      <w:r>
        <w:rPr>
          <w:rFonts w:cs="Arial"/>
        </w:rPr>
        <w:t>Improving access to public services for low- to moderate-income residents.</w:t>
      </w:r>
    </w:p>
    <w:p w:rsidR="00CD6A25" w:rsidRDefault="00000000">
      <w:pPr>
        <w:spacing w:beforeAutospacing="1" w:afterAutospacing="1"/>
        <w:rPr>
          <w:rFonts w:cs="Arial"/>
        </w:rPr>
      </w:pPr>
      <w:r>
        <w:rPr>
          <w:rFonts w:cs="Arial"/>
        </w:rPr>
        <w:t xml:space="preserve">When developing the 2025 Action Plan, the </w:t>
      </w:r>
      <w:proofErr w:type="gramStart"/>
      <w:r>
        <w:rPr>
          <w:rFonts w:cs="Arial"/>
        </w:rPr>
        <w:t>City</w:t>
      </w:r>
      <w:proofErr w:type="gramEnd"/>
      <w:r>
        <w:rPr>
          <w:rFonts w:cs="Arial"/>
        </w:rPr>
        <w:t xml:space="preserve"> chose projects that met the priorities of the 2023 - 2027 Consolidated Plan. Projects that were reoccurring were evaluated for past performance. During the development of the current Consolidated Plan, focus groups, one-on-one interviews and a community survey were used to gain public input on priorities. Projects chosen for funding during PY 2025, were evaluated to ensure that performance on goal attainment was met according to the agreement and in line with federal and local requirements. Contracts are renewable on an annual basis, as long as performance goals are being met. Prior to renewal, the contracts are evaluated to ensure that the priorities of the Consolidated Plan and goals of the contract are being met through the implementation of the projects.</w:t>
      </w:r>
    </w:p>
    <w:p w:rsidR="00CD6A25" w:rsidRDefault="00000000">
      <w:pPr>
        <w:rPr>
          <w:b/>
          <w:sz w:val="24"/>
          <w:szCs w:val="24"/>
        </w:rPr>
      </w:pPr>
      <w:r>
        <w:rPr>
          <w:b/>
          <w:sz w:val="24"/>
          <w:szCs w:val="24"/>
        </w:rPr>
        <w:t>4.</w:t>
      </w:r>
      <w:r>
        <w:rPr>
          <w:b/>
          <w:sz w:val="24"/>
          <w:szCs w:val="24"/>
        </w:rPr>
        <w:tab/>
        <w:t xml:space="preserve">Summary of Citizen Participation Process and consultation process </w:t>
      </w:r>
    </w:p>
    <w:p w:rsidR="00CD6A25" w:rsidRDefault="00000000">
      <w:pPr>
        <w:rPr>
          <w:b/>
          <w:sz w:val="24"/>
          <w:szCs w:val="24"/>
        </w:rPr>
      </w:pPr>
      <w:r>
        <w:rPr>
          <w:sz w:val="24"/>
          <w:szCs w:val="24"/>
        </w:rPr>
        <w:t>Summary from citizen participation section of plan.</w:t>
      </w:r>
    </w:p>
    <w:p w:rsidR="00CD6A25" w:rsidRDefault="00000000">
      <w:pPr>
        <w:spacing w:beforeAutospacing="1" w:afterAutospacing="1"/>
        <w:rPr>
          <w:rFonts w:cs="Arial"/>
        </w:rPr>
      </w:pPr>
      <w:r>
        <w:rPr>
          <w:rFonts w:cs="Arial"/>
        </w:rPr>
        <w:t xml:space="preserve">The </w:t>
      </w:r>
      <w:proofErr w:type="gramStart"/>
      <w:r>
        <w:rPr>
          <w:rFonts w:cs="Arial"/>
        </w:rPr>
        <w:t>City</w:t>
      </w:r>
      <w:proofErr w:type="gramEnd"/>
      <w:r>
        <w:rPr>
          <w:rFonts w:cs="Arial"/>
        </w:rPr>
        <w:t xml:space="preserve"> encouraged public participation in the 2025 Action Plan process. Efforts were made to encourage participation by low- and moderate-income persons, by residents of predominantly low- and moderate-income neighborhoods and by public housing residents, participation of minorities and non-English speaking persons, as well as persons with disabilities. The Community Development Division presented the 2025 Action Plan on Wednesday, January 22, 2025 at 5:30 p.m. to the public in person at a centrally located facility and virtually via Zoom. Details regarding the meeting, including funding amounts and proposed funded projects were advertised in the Albuquerque Journal on Tuesday, January 7, 2025, in both English and Spanish. The Legal Ad informed the public that if there were increases or decreases to the final HUD allocations, these amounts would be distributed based upon need, and any remaining balance would be proportionally distributed amongst projects. Notices with this information were posted at City Health &amp; Social Services Centers, Community Centers, Senior </w:t>
      </w:r>
      <w:r>
        <w:rPr>
          <w:rFonts w:cs="Arial"/>
        </w:rPr>
        <w:lastRenderedPageBreak/>
        <w:t xml:space="preserve">Centers and Albuquerque Housing Authority, as well as being posted on the City’s website and social media pages. The notice was also sent out via email to the Department's email list serv, which includes current and past subrecipients. The City's Office of Neighborhood Coordination also sent out the Notice in its weekly </w:t>
      </w:r>
      <w:proofErr w:type="spellStart"/>
      <w:r>
        <w:rPr>
          <w:rFonts w:cs="Arial"/>
        </w:rPr>
        <w:t>ENews</w:t>
      </w:r>
      <w:proofErr w:type="spellEnd"/>
      <w:r>
        <w:rPr>
          <w:rFonts w:cs="Arial"/>
        </w:rPr>
        <w:t xml:space="preserve"> email to their list serv. Information regarding the 30-Day Comment Period was included in the Notice and reiterated during the Public Hearing. The Comment Period began on January 23, 2025 and ended on February 21, 2025. The draft Action Plan, along with the Action Plan PowerPoint presentation was posted on the </w:t>
      </w:r>
      <w:proofErr w:type="gramStart"/>
      <w:r>
        <w:rPr>
          <w:rFonts w:cs="Arial"/>
        </w:rPr>
        <w:t>City</w:t>
      </w:r>
      <w:proofErr w:type="gramEnd"/>
      <w:r>
        <w:rPr>
          <w:rFonts w:cs="Arial"/>
        </w:rPr>
        <w:t xml:space="preserve"> website January 23, 2025, following the Public Hearing. The Department also held an Informational Meeting on the 2025 Action Plan. The Informational Meeting occurred via Zoom on Tuesday, February 4, 2025. Notice of the meeting was posted on the City’s website as well as on electronic billboards throughout City Hall. The notice was also emailed out to the Department’s email list serv of approximately 3,500 recipients. The virtual Informational Meeting was held to garner additional citizen participation in the Action Plan process. </w:t>
      </w:r>
    </w:p>
    <w:p w:rsidR="00CD6A25" w:rsidRDefault="00000000">
      <w:pPr>
        <w:rPr>
          <w:b/>
          <w:sz w:val="24"/>
          <w:szCs w:val="24"/>
        </w:rPr>
      </w:pPr>
      <w:r>
        <w:rPr>
          <w:b/>
          <w:sz w:val="24"/>
          <w:szCs w:val="24"/>
        </w:rPr>
        <w:t>5.</w:t>
      </w:r>
      <w:r>
        <w:rPr>
          <w:b/>
          <w:sz w:val="24"/>
          <w:szCs w:val="24"/>
        </w:rPr>
        <w:tab/>
        <w:t>Summary of public comments</w:t>
      </w:r>
    </w:p>
    <w:p w:rsidR="00CD6A25" w:rsidRDefault="00000000">
      <w:pPr>
        <w:rPr>
          <w:sz w:val="24"/>
          <w:szCs w:val="24"/>
        </w:rPr>
      </w:pPr>
      <w:r>
        <w:rPr>
          <w:sz w:val="24"/>
          <w:szCs w:val="24"/>
        </w:rPr>
        <w:t>This could be a brief narrative summary or reference an attached document from the Citizen Participation section of the Con Plan.</w:t>
      </w:r>
    </w:p>
    <w:p w:rsidR="00CD6A25" w:rsidRDefault="00000000">
      <w:pPr>
        <w:spacing w:beforeAutospacing="1" w:afterAutospacing="1"/>
        <w:rPr>
          <w:rFonts w:cs="Arial"/>
        </w:rPr>
      </w:pPr>
      <w:r>
        <w:rPr>
          <w:rFonts w:cs="Arial"/>
        </w:rPr>
        <w:t xml:space="preserve">During the Public Hearing two (2) comments were received. The first comment received from a community member mentioned providing services for those unhoused individuals at community centers and as well as to have collaboration amongst the NM Eviction Prevention and Diversion Program and the City’s Eviction Prevention Program. The second comment contained 3 questions which did not directly pertain to the funded projects that were presented in the Action Plan. The questions contained in the comment were the following: Why is it illegal to live in your vehicle; What happens when all of your belongings are thrown in a dumpster; and What happens when you are a homeowner and persons experiencing homelessness are damaging property? There were no comments received during the Informational Meeting. During the 30-day comment period two (2) comments were received. One from </w:t>
      </w:r>
      <w:proofErr w:type="spellStart"/>
      <w:r>
        <w:rPr>
          <w:rFonts w:cs="Arial"/>
        </w:rPr>
        <w:t>Cuidando</w:t>
      </w:r>
      <w:proofErr w:type="spellEnd"/>
      <w:r>
        <w:rPr>
          <w:rFonts w:cs="Arial"/>
        </w:rPr>
        <w:t xml:space="preserve"> Los </w:t>
      </w:r>
      <w:proofErr w:type="spellStart"/>
      <w:r>
        <w:rPr>
          <w:rFonts w:cs="Arial"/>
        </w:rPr>
        <w:t>Ninos</w:t>
      </w:r>
      <w:proofErr w:type="spellEnd"/>
      <w:r>
        <w:rPr>
          <w:rFonts w:cs="Arial"/>
        </w:rPr>
        <w:t xml:space="preserve"> indicating that the funding for the upcoming fiscal year was not needed, and thought the funds should go to eviction prevention for the city. The second comment was the Chair of the CABQ Human Rights Board in regards to the eviction prevention funds.</w:t>
      </w:r>
    </w:p>
    <w:p w:rsidR="00CD6A25" w:rsidRDefault="00000000">
      <w:pPr>
        <w:spacing w:beforeAutospacing="1" w:afterAutospacing="1"/>
        <w:rPr>
          <w:rFonts w:cs="Arial"/>
        </w:rPr>
      </w:pPr>
      <w:r>
        <w:rPr>
          <w:rFonts w:cs="Arial"/>
        </w:rPr>
        <w:t>All comments are attached in Appendix A.</w:t>
      </w:r>
    </w:p>
    <w:p w:rsidR="00CD6A25" w:rsidRDefault="00000000">
      <w:pPr>
        <w:rPr>
          <w:b/>
          <w:sz w:val="24"/>
          <w:szCs w:val="24"/>
        </w:rPr>
      </w:pPr>
      <w:r>
        <w:rPr>
          <w:b/>
          <w:sz w:val="24"/>
          <w:szCs w:val="24"/>
        </w:rPr>
        <w:t>6.</w:t>
      </w:r>
      <w:r>
        <w:rPr>
          <w:b/>
          <w:sz w:val="24"/>
          <w:szCs w:val="24"/>
        </w:rPr>
        <w:tab/>
        <w:t>Summary of comments or views not accepted and the reasons for not accepting them</w:t>
      </w:r>
    </w:p>
    <w:p w:rsidR="00CD6A25" w:rsidRDefault="00000000">
      <w:pPr>
        <w:spacing w:beforeAutospacing="1" w:afterAutospacing="1"/>
        <w:rPr>
          <w:rFonts w:cs="Arial"/>
        </w:rPr>
      </w:pPr>
      <w:r>
        <w:rPr>
          <w:rFonts w:cs="Arial"/>
        </w:rPr>
        <w:t xml:space="preserve">The second comment received during the Public Hearing was not accepted because the questions/comments submitted did not directly pertain to the funded activities of the 2025 Action Plan. Although the comment was not accepted, the </w:t>
      </w:r>
      <w:proofErr w:type="gramStart"/>
      <w:r>
        <w:rPr>
          <w:rFonts w:cs="Arial"/>
        </w:rPr>
        <w:t>City</w:t>
      </w:r>
      <w:proofErr w:type="gramEnd"/>
      <w:r>
        <w:rPr>
          <w:rFonts w:cs="Arial"/>
        </w:rPr>
        <w:t xml:space="preserve"> did provide a response to the community member.</w:t>
      </w:r>
    </w:p>
    <w:p w:rsidR="00CD6A25" w:rsidRDefault="00000000">
      <w:pPr>
        <w:rPr>
          <w:b/>
          <w:sz w:val="24"/>
          <w:szCs w:val="24"/>
        </w:rPr>
      </w:pPr>
      <w:r>
        <w:rPr>
          <w:b/>
          <w:sz w:val="24"/>
          <w:szCs w:val="24"/>
        </w:rPr>
        <w:t>7.</w:t>
      </w:r>
      <w:r>
        <w:rPr>
          <w:b/>
          <w:sz w:val="24"/>
          <w:szCs w:val="24"/>
        </w:rPr>
        <w:tab/>
        <w:t>Summary</w:t>
      </w:r>
    </w:p>
    <w:p w:rsidR="00CD6A25" w:rsidRDefault="00000000">
      <w:pPr>
        <w:spacing w:beforeAutospacing="1" w:afterAutospacing="1"/>
        <w:rPr>
          <w:rFonts w:cs="Arial"/>
        </w:rPr>
      </w:pPr>
      <w:r>
        <w:rPr>
          <w:rFonts w:cs="Arial"/>
        </w:rPr>
        <w:lastRenderedPageBreak/>
        <w:t xml:space="preserve">The public had opportunity to review and comment on the 2025 draft Action Plan, as community input was solicited in several ways. A public notice, in English and Spanish, was placed in the Albuquerque Journal with a list of projects and funding amounts. The notice, in English and Spanish, was posted at City facilities, as well as Albuquerque Housing Authority, and was also sent out via email to current and past subrecipients, and by the Office of Neighborhood Coordination in its weekly </w:t>
      </w:r>
      <w:proofErr w:type="spellStart"/>
      <w:r>
        <w:rPr>
          <w:rFonts w:cs="Arial"/>
        </w:rPr>
        <w:t>ENews</w:t>
      </w:r>
      <w:proofErr w:type="spellEnd"/>
      <w:r>
        <w:rPr>
          <w:rFonts w:cs="Arial"/>
        </w:rPr>
        <w:t xml:space="preserve"> to its email list serv. A Public Hearing presenting the 2025 draft Action Plan was held on January 22, 2025, which began the 30-Day Comment Period. The </w:t>
      </w:r>
      <w:proofErr w:type="gramStart"/>
      <w:r>
        <w:rPr>
          <w:rFonts w:cs="Arial"/>
        </w:rPr>
        <w:t>City</w:t>
      </w:r>
      <w:proofErr w:type="gramEnd"/>
      <w:r>
        <w:rPr>
          <w:rFonts w:cs="Arial"/>
        </w:rPr>
        <w:t xml:space="preserve"> also held an Informational Meeting on the draft Action Plan on February 4, 2025, in order to promote more citizen participation. The Informational Meeting was held virtually and presented the draft 2025 Action Plan information from the Public Hearing. Advertisement of the Informational Meeting was posted on the City’s website and on electronic billboards throughout City Hall, as well as distributed to the Department’s email list serv. The draft Action Plan, as well as the PowerPoint presentation, was posted on the </w:t>
      </w:r>
      <w:proofErr w:type="gramStart"/>
      <w:r>
        <w:rPr>
          <w:rFonts w:cs="Arial"/>
        </w:rPr>
        <w:t>City</w:t>
      </w:r>
      <w:proofErr w:type="gramEnd"/>
      <w:r>
        <w:rPr>
          <w:rFonts w:cs="Arial"/>
        </w:rPr>
        <w:t xml:space="preserve"> website during the comment period, and contained information on how to submit comments. There were two (2) comments received during the Public Hearing and two (2) comments received during the 30-day comment period. The comments submitted and accepted are attached in Appendix A. </w:t>
      </w:r>
    </w:p>
    <w:p w:rsidR="00CD6A25" w:rsidRDefault="00CD6A25">
      <w:pPr>
        <w:pStyle w:val="Heading2"/>
        <w:pageBreakBefore/>
        <w:rPr>
          <w:rFonts w:ascii="Calibri" w:hAnsi="Calibri"/>
          <w:i w:val="0"/>
        </w:rPr>
        <w:sectPr w:rsidR="00CD6A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CD6A25" w:rsidRDefault="00000000">
      <w:pPr>
        <w:pStyle w:val="Heading2"/>
        <w:pageBreakBefore/>
        <w:rPr>
          <w:rFonts w:ascii="Calibri" w:hAnsi="Calibri"/>
          <w:i w:val="0"/>
        </w:rPr>
      </w:pPr>
      <w:r>
        <w:rPr>
          <w:rFonts w:ascii="Calibri" w:hAnsi="Calibri"/>
          <w:i w:val="0"/>
        </w:rPr>
        <w:lastRenderedPageBreak/>
        <w:t>PR-05 Lead &amp; Responsible Agencies – 91.200(b)</w:t>
      </w:r>
    </w:p>
    <w:p w:rsidR="00CD6A25" w:rsidRDefault="00000000">
      <w:pPr>
        <w:keepNext/>
        <w:rPr>
          <w:b/>
          <w:sz w:val="24"/>
          <w:szCs w:val="24"/>
        </w:rPr>
      </w:pPr>
      <w:r>
        <w:rPr>
          <w:b/>
          <w:sz w:val="24"/>
          <w:szCs w:val="24"/>
        </w:rPr>
        <w:t>1.</w:t>
      </w:r>
      <w:r>
        <w:rPr>
          <w:b/>
          <w:sz w:val="24"/>
          <w:szCs w:val="24"/>
        </w:rPr>
        <w:tab/>
        <w:t>Agency/entity responsible for preparing/administering the Consolidated Plan</w:t>
      </w:r>
    </w:p>
    <w:p w:rsidR="00CD6A25" w:rsidRDefault="00000000">
      <w:pPr>
        <w:keepNext/>
        <w:rPr>
          <w:sz w:val="24"/>
          <w:szCs w:val="24"/>
        </w:rPr>
      </w:pPr>
      <w:r>
        <w:rPr>
          <w:sz w:val="24"/>
          <w:szCs w:val="24"/>
        </w:rPr>
        <w:t>Describe the agency/entity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7"/>
        <w:gridCol w:w="4317"/>
      </w:tblGrid>
      <w:tr w:rsidR="00CD6A25">
        <w:trPr>
          <w:cantSplit/>
          <w:tblHeader/>
        </w:trPr>
        <w:tc>
          <w:tcPr>
            <w:tcW w:w="3192" w:type="dxa"/>
          </w:tcPr>
          <w:p w:rsidR="00CD6A25" w:rsidRDefault="00000000">
            <w:pPr>
              <w:keepNext/>
              <w:widowControl w:val="0"/>
              <w:spacing w:after="0" w:line="240" w:lineRule="auto"/>
              <w:jc w:val="center"/>
              <w:rPr>
                <w:b/>
                <w:bCs/>
              </w:rPr>
            </w:pPr>
            <w:r>
              <w:rPr>
                <w:b/>
                <w:bCs/>
              </w:rPr>
              <w:t>Agency Role</w:t>
            </w:r>
          </w:p>
        </w:tc>
        <w:tc>
          <w:tcPr>
            <w:tcW w:w="3192" w:type="dxa"/>
          </w:tcPr>
          <w:p w:rsidR="00CD6A25" w:rsidRDefault="00000000">
            <w:pPr>
              <w:keepNext/>
              <w:widowControl w:val="0"/>
              <w:spacing w:after="0" w:line="240" w:lineRule="auto"/>
              <w:jc w:val="center"/>
              <w:rPr>
                <w:b/>
                <w:bCs/>
              </w:rPr>
            </w:pPr>
            <w:r>
              <w:rPr>
                <w:b/>
                <w:bCs/>
              </w:rPr>
              <w:t>Name</w:t>
            </w:r>
          </w:p>
        </w:tc>
        <w:tc>
          <w:tcPr>
            <w:tcW w:w="3192" w:type="dxa"/>
          </w:tcPr>
          <w:p w:rsidR="00CD6A25" w:rsidRDefault="00000000">
            <w:pPr>
              <w:keepNext/>
              <w:widowControl w:val="0"/>
              <w:spacing w:after="0" w:line="240" w:lineRule="auto"/>
              <w:jc w:val="center"/>
              <w:rPr>
                <w:b/>
                <w:bCs/>
              </w:rPr>
            </w:pPr>
            <w:r>
              <w:rPr>
                <w:b/>
                <w:bCs/>
              </w:rPr>
              <w:t>Department/Agency</w:t>
            </w:r>
          </w:p>
        </w:tc>
      </w:tr>
      <w:tr w:rsidR="00CD6A25">
        <w:trPr>
          <w:cantSplit/>
        </w:trPr>
        <w:tc>
          <w:tcPr>
            <w:tcW w:w="0" w:type="auto"/>
          </w:tcPr>
          <w:p w:rsidR="00CD6A25" w:rsidRDefault="00000000">
            <w:pPr>
              <w:spacing w:beforeAutospacing="1" w:afterAutospacing="1"/>
            </w:pPr>
            <w:proofErr w:type="gramStart"/>
            <w:r>
              <w:rPr>
                <w:color w:val="000000"/>
              </w:rPr>
              <w:t>Lead  Agency</w:t>
            </w:r>
            <w:proofErr w:type="gramEnd"/>
          </w:p>
        </w:tc>
        <w:tc>
          <w:tcPr>
            <w:tcW w:w="0" w:type="auto"/>
          </w:tcPr>
          <w:p w:rsidR="00CD6A25" w:rsidRDefault="00000000">
            <w:pPr>
              <w:spacing w:beforeAutospacing="1" w:afterAutospacing="1"/>
            </w:pPr>
            <w:r>
              <w:rPr>
                <w:color w:val="000000"/>
              </w:rPr>
              <w:t>ALBUQUERQUE</w:t>
            </w:r>
          </w:p>
        </w:tc>
        <w:tc>
          <w:tcPr>
            <w:tcW w:w="0" w:type="auto"/>
          </w:tcPr>
          <w:p w:rsidR="00CD6A25" w:rsidRDefault="00000000">
            <w:pPr>
              <w:spacing w:beforeAutospacing="1" w:afterAutospacing="1"/>
            </w:pPr>
            <w:r>
              <w:rPr>
                <w:color w:val="000000"/>
              </w:rPr>
              <w:t xml:space="preserve"> </w:t>
            </w:r>
          </w:p>
        </w:tc>
      </w:tr>
    </w:tbl>
    <w:p w:rsidR="00CD6A25" w:rsidRDefault="00CD6A25">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3789"/>
        <w:gridCol w:w="5373"/>
      </w:tblGrid>
      <w:tr w:rsidR="00CD6A25">
        <w:trPr>
          <w:cantSplit/>
          <w:tblHeader/>
          <w:hidden/>
        </w:trPr>
        <w:tc>
          <w:tcPr>
            <w:tcW w:w="3192" w:type="dxa"/>
          </w:tcPr>
          <w:p w:rsidR="00CD6A25" w:rsidRDefault="00CD6A25">
            <w:pPr>
              <w:keepNext/>
              <w:widowControl w:val="0"/>
              <w:spacing w:after="0" w:line="240" w:lineRule="auto"/>
              <w:jc w:val="center"/>
              <w:rPr>
                <w:b/>
                <w:bCs/>
                <w:vanish/>
              </w:rPr>
            </w:pPr>
          </w:p>
        </w:tc>
        <w:tc>
          <w:tcPr>
            <w:tcW w:w="3192" w:type="dxa"/>
          </w:tcPr>
          <w:p w:rsidR="00CD6A25" w:rsidRDefault="00CD6A25">
            <w:pPr>
              <w:keepNext/>
              <w:widowControl w:val="0"/>
              <w:spacing w:after="0" w:line="240" w:lineRule="auto"/>
              <w:jc w:val="center"/>
              <w:rPr>
                <w:b/>
                <w:bCs/>
                <w:vanish/>
              </w:rPr>
            </w:pPr>
          </w:p>
        </w:tc>
        <w:tc>
          <w:tcPr>
            <w:tcW w:w="3192" w:type="dxa"/>
          </w:tcPr>
          <w:p w:rsidR="00CD6A25" w:rsidRDefault="00CD6A25">
            <w:pPr>
              <w:keepNext/>
              <w:widowControl w:val="0"/>
              <w:spacing w:after="0" w:line="240" w:lineRule="auto"/>
              <w:jc w:val="center"/>
              <w:rPr>
                <w:b/>
                <w:bCs/>
                <w:vanish/>
              </w:rPr>
            </w:pPr>
          </w:p>
        </w:tc>
      </w:tr>
      <w:tr w:rsidR="00CD6A25">
        <w:trPr>
          <w:cantSplit/>
        </w:trPr>
        <w:tc>
          <w:tcPr>
            <w:tcW w:w="0" w:type="auto"/>
          </w:tcPr>
          <w:p w:rsidR="00CD6A25" w:rsidRDefault="00000000">
            <w:pPr>
              <w:spacing w:beforeAutospacing="1" w:afterAutospacing="1"/>
            </w:pPr>
            <w:r>
              <w:rPr>
                <w:color w:val="000000"/>
              </w:rPr>
              <w:t>CDBG Administrator</w:t>
            </w:r>
          </w:p>
        </w:tc>
        <w:tc>
          <w:tcPr>
            <w:tcW w:w="0" w:type="auto"/>
          </w:tcPr>
          <w:p w:rsidR="00CD6A25" w:rsidRDefault="00000000">
            <w:pPr>
              <w:spacing w:beforeAutospacing="1" w:afterAutospacing="1"/>
            </w:pPr>
            <w:r>
              <w:rPr>
                <w:color w:val="000000"/>
              </w:rPr>
              <w:t>ALBUQUERQUE</w:t>
            </w:r>
          </w:p>
        </w:tc>
        <w:tc>
          <w:tcPr>
            <w:tcW w:w="0" w:type="auto"/>
          </w:tcPr>
          <w:p w:rsidR="00CD6A25" w:rsidRDefault="00000000">
            <w:pPr>
              <w:spacing w:beforeAutospacing="1" w:afterAutospacing="1"/>
            </w:pPr>
            <w:r>
              <w:rPr>
                <w:color w:val="000000"/>
              </w:rPr>
              <w:t>Department of Health, Housing &amp; Homelessness</w:t>
            </w:r>
          </w:p>
        </w:tc>
      </w:tr>
      <w:tr w:rsidR="00CD6A25">
        <w:trPr>
          <w:cantSplit/>
        </w:trPr>
        <w:tc>
          <w:tcPr>
            <w:tcW w:w="0" w:type="auto"/>
          </w:tcPr>
          <w:p w:rsidR="00CD6A25" w:rsidRDefault="00000000">
            <w:pPr>
              <w:spacing w:beforeAutospacing="1" w:afterAutospacing="1"/>
            </w:pPr>
            <w:r>
              <w:rPr>
                <w:color w:val="000000"/>
              </w:rPr>
              <w:t>HOPWA Administrator</w:t>
            </w:r>
          </w:p>
        </w:tc>
        <w:tc>
          <w:tcPr>
            <w:tcW w:w="0" w:type="auto"/>
          </w:tcPr>
          <w:p w:rsidR="00CD6A25" w:rsidRDefault="00000000">
            <w:pPr>
              <w:spacing w:beforeAutospacing="1" w:afterAutospacing="1"/>
            </w:pPr>
            <w:r>
              <w:rPr>
                <w:color w:val="000000"/>
              </w:rPr>
              <w:t xml:space="preserve"> </w:t>
            </w:r>
          </w:p>
        </w:tc>
        <w:tc>
          <w:tcPr>
            <w:tcW w:w="0" w:type="auto"/>
          </w:tcPr>
          <w:p w:rsidR="00CD6A25" w:rsidRDefault="00000000">
            <w:pPr>
              <w:spacing w:beforeAutospacing="1" w:afterAutospacing="1"/>
            </w:pPr>
            <w:r>
              <w:rPr>
                <w:color w:val="000000"/>
              </w:rPr>
              <w:t xml:space="preserve"> </w:t>
            </w:r>
          </w:p>
        </w:tc>
      </w:tr>
      <w:tr w:rsidR="00CD6A25">
        <w:trPr>
          <w:cantSplit/>
        </w:trPr>
        <w:tc>
          <w:tcPr>
            <w:tcW w:w="0" w:type="auto"/>
          </w:tcPr>
          <w:p w:rsidR="00CD6A25" w:rsidRDefault="00000000">
            <w:pPr>
              <w:spacing w:beforeAutospacing="1" w:afterAutospacing="1"/>
            </w:pPr>
            <w:r>
              <w:rPr>
                <w:color w:val="000000"/>
              </w:rPr>
              <w:t>HOME Administrator</w:t>
            </w:r>
          </w:p>
        </w:tc>
        <w:tc>
          <w:tcPr>
            <w:tcW w:w="0" w:type="auto"/>
          </w:tcPr>
          <w:p w:rsidR="00CD6A25" w:rsidRDefault="00000000">
            <w:pPr>
              <w:spacing w:beforeAutospacing="1" w:afterAutospacing="1"/>
            </w:pPr>
            <w:r>
              <w:rPr>
                <w:color w:val="000000"/>
              </w:rPr>
              <w:t>ALBUQUERQUE</w:t>
            </w:r>
          </w:p>
        </w:tc>
        <w:tc>
          <w:tcPr>
            <w:tcW w:w="0" w:type="auto"/>
          </w:tcPr>
          <w:p w:rsidR="00CD6A25" w:rsidRDefault="00000000">
            <w:pPr>
              <w:spacing w:beforeAutospacing="1" w:afterAutospacing="1"/>
            </w:pPr>
            <w:r>
              <w:rPr>
                <w:color w:val="000000"/>
              </w:rPr>
              <w:t>Department of Health, Housing &amp; Homelessness</w:t>
            </w:r>
          </w:p>
        </w:tc>
      </w:tr>
      <w:tr w:rsidR="00CD6A25">
        <w:trPr>
          <w:cantSplit/>
        </w:trPr>
        <w:tc>
          <w:tcPr>
            <w:tcW w:w="0" w:type="auto"/>
          </w:tcPr>
          <w:p w:rsidR="00CD6A25" w:rsidRDefault="00000000">
            <w:pPr>
              <w:spacing w:beforeAutospacing="1" w:afterAutospacing="1"/>
            </w:pPr>
            <w:r>
              <w:rPr>
                <w:color w:val="000000"/>
              </w:rPr>
              <w:t>ESG Administrator</w:t>
            </w:r>
          </w:p>
        </w:tc>
        <w:tc>
          <w:tcPr>
            <w:tcW w:w="0" w:type="auto"/>
          </w:tcPr>
          <w:p w:rsidR="00CD6A25" w:rsidRDefault="00000000">
            <w:pPr>
              <w:spacing w:beforeAutospacing="1" w:afterAutospacing="1"/>
            </w:pPr>
            <w:r>
              <w:rPr>
                <w:color w:val="000000"/>
              </w:rPr>
              <w:t>ALBUQUERQUE</w:t>
            </w:r>
          </w:p>
        </w:tc>
        <w:tc>
          <w:tcPr>
            <w:tcW w:w="0" w:type="auto"/>
          </w:tcPr>
          <w:p w:rsidR="00CD6A25" w:rsidRDefault="00000000">
            <w:pPr>
              <w:spacing w:beforeAutospacing="1" w:afterAutospacing="1"/>
            </w:pPr>
            <w:r>
              <w:rPr>
                <w:color w:val="000000"/>
              </w:rPr>
              <w:t>Department of Health, Housing &amp; Homelessness</w:t>
            </w:r>
          </w:p>
        </w:tc>
      </w:tr>
      <w:tr w:rsidR="00CD6A25">
        <w:trPr>
          <w:cantSplit/>
        </w:trPr>
        <w:tc>
          <w:tcPr>
            <w:tcW w:w="0" w:type="auto"/>
          </w:tcPr>
          <w:p w:rsidR="00CD6A25" w:rsidRDefault="00000000">
            <w:pPr>
              <w:spacing w:beforeAutospacing="1" w:afterAutospacing="1"/>
            </w:pPr>
            <w:r>
              <w:rPr>
                <w:color w:val="000000"/>
              </w:rPr>
              <w:t>HOPWA-C Administrator</w:t>
            </w:r>
          </w:p>
        </w:tc>
        <w:tc>
          <w:tcPr>
            <w:tcW w:w="0" w:type="auto"/>
          </w:tcPr>
          <w:p w:rsidR="00CD6A25" w:rsidRDefault="00000000">
            <w:pPr>
              <w:spacing w:beforeAutospacing="1" w:afterAutospacing="1"/>
            </w:pPr>
            <w:r>
              <w:rPr>
                <w:color w:val="000000"/>
              </w:rPr>
              <w:t xml:space="preserve"> </w:t>
            </w:r>
          </w:p>
        </w:tc>
        <w:tc>
          <w:tcPr>
            <w:tcW w:w="0" w:type="auto"/>
          </w:tcPr>
          <w:p w:rsidR="00CD6A25" w:rsidRDefault="00000000">
            <w:pPr>
              <w:spacing w:beforeAutospacing="1" w:afterAutospacing="1"/>
            </w:pPr>
            <w:r>
              <w:rPr>
                <w:color w:val="000000"/>
              </w:rPr>
              <w:t xml:space="preserve"> </w:t>
            </w:r>
          </w:p>
        </w:tc>
      </w:tr>
    </w:tbl>
    <w:p w:rsidR="00CD6A25" w:rsidRDefault="0000000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Responsible Agencies</w:t>
      </w:r>
    </w:p>
    <w:p w:rsidR="00CD6A25" w:rsidRDefault="00CD6A25">
      <w:pPr>
        <w:spacing w:after="0" w:line="240" w:lineRule="auto"/>
        <w:rPr>
          <w:b/>
          <w:sz w:val="24"/>
          <w:szCs w:val="24"/>
        </w:rPr>
      </w:pPr>
    </w:p>
    <w:p w:rsidR="00CD6A25" w:rsidRDefault="00000000">
      <w:pPr>
        <w:rPr>
          <w:b/>
          <w:sz w:val="24"/>
          <w:szCs w:val="24"/>
        </w:rPr>
      </w:pPr>
      <w:r>
        <w:rPr>
          <w:b/>
          <w:sz w:val="24"/>
          <w:szCs w:val="24"/>
        </w:rPr>
        <w:t>Narrative (optional)</w:t>
      </w:r>
    </w:p>
    <w:p w:rsidR="00CD6A25" w:rsidRDefault="00CD6A25">
      <w:pPr>
        <w:rPr>
          <w:rFonts w:cs="Arial"/>
        </w:rPr>
      </w:pPr>
    </w:p>
    <w:p w:rsidR="00CD6A25" w:rsidRDefault="00000000">
      <w:pPr>
        <w:rPr>
          <w:b/>
          <w:sz w:val="24"/>
          <w:szCs w:val="24"/>
        </w:rPr>
      </w:pPr>
      <w:r>
        <w:rPr>
          <w:b/>
          <w:sz w:val="24"/>
          <w:szCs w:val="24"/>
        </w:rPr>
        <w:t>Consolidated Plan Public Contact Information</w:t>
      </w:r>
    </w:p>
    <w:p w:rsidR="00CD6A25" w:rsidRDefault="00000000">
      <w:pPr>
        <w:spacing w:beforeAutospacing="1" w:afterAutospacing="1"/>
        <w:rPr>
          <w:rFonts w:cs="Arial"/>
        </w:rPr>
      </w:pPr>
      <w:r>
        <w:rPr>
          <w:rFonts w:cs="Arial"/>
        </w:rPr>
        <w:t>Monica Montoya, Community Development Division Manager, Department of Health, Housing &amp; Homelessness</w:t>
      </w:r>
    </w:p>
    <w:p w:rsidR="00CD6A25" w:rsidRDefault="00000000">
      <w:pPr>
        <w:spacing w:beforeAutospacing="1" w:afterAutospacing="1"/>
        <w:rPr>
          <w:rFonts w:cs="Arial"/>
        </w:rPr>
      </w:pPr>
      <w:r>
        <w:rPr>
          <w:rFonts w:cs="Arial"/>
        </w:rPr>
        <w:t>400 Marquette NW, Suite 504, 5th Floor, Albuquerque, NM 87102</w:t>
      </w:r>
    </w:p>
    <w:p w:rsidR="00CD6A25" w:rsidRDefault="00000000">
      <w:pPr>
        <w:spacing w:beforeAutospacing="1" w:afterAutospacing="1"/>
        <w:rPr>
          <w:rFonts w:cs="Arial"/>
        </w:rPr>
      </w:pPr>
      <w:r>
        <w:rPr>
          <w:rFonts w:cs="Arial"/>
        </w:rPr>
        <w:t>Office: 505-768-2734/mtmontoya@cabq.gov</w:t>
      </w:r>
    </w:p>
    <w:p w:rsidR="00CD6A25" w:rsidRDefault="00CD6A25">
      <w:pPr>
        <w:pStyle w:val="Heading2"/>
        <w:keepNext w:val="0"/>
        <w:pageBreakBefore/>
        <w:widowControl w:val="0"/>
        <w:rPr>
          <w:rFonts w:ascii="Calibri" w:hAnsi="Calibri"/>
          <w:i w:val="0"/>
        </w:rPr>
        <w:sectPr w:rsidR="00CD6A25">
          <w:pgSz w:w="15840" w:h="12240" w:orient="landscape"/>
          <w:pgMar w:top="1440" w:right="1440" w:bottom="1440" w:left="1440" w:header="720" w:footer="720" w:gutter="0"/>
          <w:cols w:space="720"/>
          <w:docGrid w:linePitch="360"/>
        </w:sectPr>
      </w:pPr>
    </w:p>
    <w:p w:rsidR="00CD6A25" w:rsidRDefault="00000000">
      <w:pPr>
        <w:pStyle w:val="Heading2"/>
        <w:keepNext w:val="0"/>
        <w:pageBreakBefore/>
        <w:widowControl w:val="0"/>
        <w:rPr>
          <w:rFonts w:ascii="Calibri" w:hAnsi="Calibri"/>
          <w:i w:val="0"/>
        </w:rPr>
      </w:pPr>
      <w:r>
        <w:rPr>
          <w:rFonts w:ascii="Calibri" w:hAnsi="Calibri"/>
          <w:i w:val="0"/>
        </w:rPr>
        <w:lastRenderedPageBreak/>
        <w:t>AP-10 Consultation – 91.100, 91.200(b), 91.215(l)</w:t>
      </w:r>
    </w:p>
    <w:p w:rsidR="00CD6A25" w:rsidRDefault="00000000">
      <w:pPr>
        <w:rPr>
          <w:b/>
          <w:sz w:val="24"/>
          <w:szCs w:val="24"/>
        </w:rPr>
      </w:pPr>
      <w:r>
        <w:rPr>
          <w:b/>
          <w:sz w:val="24"/>
          <w:szCs w:val="24"/>
        </w:rPr>
        <w:t>1.</w:t>
      </w:r>
      <w:r>
        <w:rPr>
          <w:b/>
          <w:sz w:val="24"/>
          <w:szCs w:val="24"/>
        </w:rPr>
        <w:tab/>
        <w:t>Introduction</w:t>
      </w:r>
    </w:p>
    <w:p w:rsidR="00CD6A25" w:rsidRDefault="00000000">
      <w:pPr>
        <w:spacing w:beforeAutospacing="1" w:afterAutospacing="1"/>
        <w:rPr>
          <w:rFonts w:cs="Arial"/>
        </w:rPr>
      </w:pPr>
      <w:r>
        <w:rPr>
          <w:rFonts w:cs="Arial"/>
        </w:rPr>
        <w:t xml:space="preserve">The City regularly consults with representatives from community service providers, City departments, advocacy groups, and organizations involved in the development of affordable housing, the creation of job opportunities for low- and moderate-income residents, and/or the provision of services to children, elderly persons, persons with disabilities, persons with mental health and/or substance use disorders, and homeless persons. When developing the current Consolidated Plan, which contains five-year priorities and goals, and informs this Action Plan, the </w:t>
      </w:r>
      <w:proofErr w:type="gramStart"/>
      <w:r>
        <w:rPr>
          <w:rFonts w:cs="Arial"/>
        </w:rPr>
        <w:t>City</w:t>
      </w:r>
      <w:proofErr w:type="gramEnd"/>
      <w:r>
        <w:rPr>
          <w:rFonts w:cs="Arial"/>
        </w:rPr>
        <w:t xml:space="preserve"> solicited feedback through the following methods:</w:t>
      </w:r>
    </w:p>
    <w:p w:rsidR="00CD6A25" w:rsidRDefault="00000000">
      <w:pPr>
        <w:numPr>
          <w:ilvl w:val="0"/>
          <w:numId w:val="3"/>
        </w:numPr>
        <w:spacing w:beforeAutospacing="1" w:afterAutospacing="1"/>
        <w:rPr>
          <w:rFonts w:cs="Arial"/>
        </w:rPr>
      </w:pPr>
      <w:r>
        <w:rPr>
          <w:rFonts w:cs="Arial"/>
        </w:rPr>
        <w:t>Citywide community survey</w:t>
      </w:r>
    </w:p>
    <w:p w:rsidR="00CD6A25" w:rsidRDefault="00000000">
      <w:pPr>
        <w:numPr>
          <w:ilvl w:val="0"/>
          <w:numId w:val="3"/>
        </w:numPr>
        <w:spacing w:beforeAutospacing="1" w:afterAutospacing="1"/>
        <w:rPr>
          <w:rFonts w:cs="Arial"/>
        </w:rPr>
      </w:pPr>
      <w:r>
        <w:rPr>
          <w:rFonts w:cs="Arial"/>
        </w:rPr>
        <w:t>Focus Group discussions with service providers and community residents;</w:t>
      </w:r>
    </w:p>
    <w:p w:rsidR="00CD6A25" w:rsidRDefault="00000000">
      <w:pPr>
        <w:numPr>
          <w:ilvl w:val="0"/>
          <w:numId w:val="3"/>
        </w:numPr>
        <w:spacing w:beforeAutospacing="1" w:afterAutospacing="1"/>
        <w:rPr>
          <w:rFonts w:cs="Arial"/>
        </w:rPr>
      </w:pPr>
      <w:r>
        <w:rPr>
          <w:rFonts w:cs="Arial"/>
        </w:rPr>
        <w:t>Stakeholder interviews;</w:t>
      </w:r>
    </w:p>
    <w:p w:rsidR="00CD6A25" w:rsidRDefault="00000000">
      <w:pPr>
        <w:numPr>
          <w:ilvl w:val="0"/>
          <w:numId w:val="3"/>
        </w:numPr>
        <w:spacing w:beforeAutospacing="1" w:afterAutospacing="1"/>
        <w:rPr>
          <w:rFonts w:cs="Arial"/>
        </w:rPr>
      </w:pPr>
      <w:r>
        <w:rPr>
          <w:rFonts w:cs="Arial"/>
        </w:rPr>
        <w:t>Public Hearings; and</w:t>
      </w:r>
    </w:p>
    <w:p w:rsidR="00CD6A25" w:rsidRDefault="00000000">
      <w:pPr>
        <w:numPr>
          <w:ilvl w:val="0"/>
          <w:numId w:val="3"/>
        </w:numPr>
        <w:spacing w:beforeAutospacing="1" w:afterAutospacing="1"/>
        <w:rPr>
          <w:rFonts w:cs="Arial"/>
        </w:rPr>
      </w:pPr>
      <w:r>
        <w:rPr>
          <w:rFonts w:cs="Arial"/>
        </w:rPr>
        <w:t>Receipt of written comments.</w:t>
      </w:r>
    </w:p>
    <w:p w:rsidR="00CD6A25" w:rsidRDefault="00000000">
      <w:pPr>
        <w:spacing w:beforeAutospacing="1" w:afterAutospacing="1"/>
        <w:rPr>
          <w:rFonts w:cs="Arial"/>
        </w:rPr>
      </w:pPr>
      <w:r>
        <w:rPr>
          <w:rFonts w:cs="Arial"/>
        </w:rPr>
        <w:t>The input received from the methods above as well as the ongoing, regular consultations helped establish and inform the Program Year 2025 Action Plan.</w:t>
      </w:r>
    </w:p>
    <w:p w:rsidR="00CD6A25" w:rsidRDefault="00000000">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(91.215(l))</w:t>
      </w:r>
    </w:p>
    <w:p w:rsidR="00CD6A25" w:rsidRDefault="00000000">
      <w:pPr>
        <w:spacing w:beforeAutospacing="1" w:afterAutospacing="1"/>
        <w:rPr>
          <w:rFonts w:cs="Arial"/>
        </w:rPr>
      </w:pPr>
      <w:r>
        <w:rPr>
          <w:rFonts w:cs="Arial"/>
        </w:rPr>
        <w:t xml:space="preserve">The </w:t>
      </w:r>
      <w:proofErr w:type="gramStart"/>
      <w:r>
        <w:rPr>
          <w:rFonts w:cs="Arial"/>
        </w:rPr>
        <w:t>City</w:t>
      </w:r>
      <w:proofErr w:type="gramEnd"/>
      <w:r>
        <w:rPr>
          <w:rFonts w:cs="Arial"/>
        </w:rPr>
        <w:t xml:space="preserve"> understands the importance of continued coordination and alignment with organizations and providers while developing the Consolidated Plan and subsequent Action Plans. The City will continue to look towards these partners to assist in the implementation of projects using CDBG, HOME, and ESG funds. The </w:t>
      </w:r>
      <w:proofErr w:type="gramStart"/>
      <w:r>
        <w:rPr>
          <w:rFonts w:cs="Arial"/>
        </w:rPr>
        <w:t>City</w:t>
      </w:r>
      <w:proofErr w:type="gramEnd"/>
      <w:r>
        <w:rPr>
          <w:rFonts w:cs="Arial"/>
        </w:rPr>
        <w:t xml:space="preserve"> has consolidated its City-directed housing and community development programs and functions into the Department of Health, Housing and Homelessness (HHH). By consolidating its HUD formula and competitive grant programs, as well as oversight of its homeless initiatives, the </w:t>
      </w:r>
      <w:proofErr w:type="gramStart"/>
      <w:r>
        <w:rPr>
          <w:rFonts w:cs="Arial"/>
        </w:rPr>
        <w:t>City</w:t>
      </w:r>
      <w:proofErr w:type="gramEnd"/>
      <w:r>
        <w:rPr>
          <w:rFonts w:cs="Arial"/>
        </w:rPr>
        <w:t xml:space="preserve"> is able to target, plan and implement programs more seamlessly and with greater impact. It is also able to be more efficient in delivering resources and services, monitoring service providers, and creating collaborative relationships with other City departments. The Affordable Housing Committee is an example of these positive working partnerships. The Committee has representation from the private lending industry, the affordable housing industry, HHH, the City's Planning Department, the Albuquerque Housing Authority, homeless/low-income populations, and the New Mexico Mortgage Finance Authority (MFA). The purpose of the Committee is to advise the City on its affordable housing </w:t>
      </w:r>
      <w:proofErr w:type="spellStart"/>
      <w:proofErr w:type="gramStart"/>
      <w:r>
        <w:rPr>
          <w:rFonts w:cs="Arial"/>
        </w:rPr>
        <w:t>strategies.Ã</w:t>
      </w:r>
      <w:proofErr w:type="gramEnd"/>
      <w:r>
        <w:rPr>
          <w:rFonts w:cs="Arial"/>
        </w:rPr>
        <w:t>¿Â¿Ã¿Â</w:t>
      </w:r>
      <w:proofErr w:type="spellEnd"/>
      <w:r>
        <w:rPr>
          <w:rFonts w:cs="Arial"/>
        </w:rPr>
        <w:t> </w:t>
      </w:r>
    </w:p>
    <w:p w:rsidR="00CD6A25" w:rsidRDefault="00000000">
      <w:pPr>
        <w:spacing w:beforeAutospacing="1" w:afterAutospacing="1"/>
        <w:rPr>
          <w:rFonts w:cs="Arial"/>
        </w:rPr>
      </w:pPr>
      <w:r>
        <w:rPr>
          <w:rFonts w:cs="Arial"/>
        </w:rPr>
        <w:lastRenderedPageBreak/>
        <w:t xml:space="preserve">The City also continues to promote ongoing coordination among various health and social service entities that treat the most severely mentally ill, those with severe alcohol and drug addictions, and others in critical of intervention to stay permanently housed and out of the custody of law enforcement. The ongoing collaboration of the behavioral health community and Albuquerque Police Department work towards bringing awareness to the specific needs of at-risk </w:t>
      </w:r>
      <w:proofErr w:type="spellStart"/>
      <w:proofErr w:type="gramStart"/>
      <w:r>
        <w:rPr>
          <w:rFonts w:cs="Arial"/>
        </w:rPr>
        <w:t>individuals.Ã</w:t>
      </w:r>
      <w:proofErr w:type="gramEnd"/>
      <w:r>
        <w:rPr>
          <w:rFonts w:cs="Arial"/>
        </w:rPr>
        <w:t>¿Â¿Ã¿Â</w:t>
      </w:r>
      <w:proofErr w:type="spellEnd"/>
      <w:r>
        <w:rPr>
          <w:rFonts w:cs="Arial"/>
        </w:rPr>
        <w:t> </w:t>
      </w:r>
    </w:p>
    <w:p w:rsidR="00CD6A25" w:rsidRDefault="00000000">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rsidR="00CD6A25" w:rsidRDefault="00000000">
      <w:pPr>
        <w:spacing w:beforeAutospacing="1" w:afterAutospacing="1"/>
        <w:rPr>
          <w:rFonts w:cs="Arial"/>
        </w:rPr>
      </w:pPr>
      <w:r>
        <w:rPr>
          <w:rFonts w:cs="Arial"/>
        </w:rPr>
        <w:t>Albuquerque's homeless system of care is comprised of a network of public, private, faith-based, for-profit, and nonprofit service providers that utilizes several federal, state and local resources to provide services for persons experiencing homelessness. The City also provides general fund resources for services that assist those experiencing homelessness and those at risk of experiencing homelessness. The City's nonprofit community plays a key role in the Continuum of Care system. Numerous organizations throughout the city administer programs ranging from meals to providing permanent supportive housing opportunities. These services are available to single men and women experiencing homelessness, as well as families with children. The City's nonprofit community also serves special needs populations, such as victims of domestic violence, veterans, persons with disabilities, persons with HIV/AIDS, and youth.</w:t>
      </w:r>
    </w:p>
    <w:p w:rsidR="00CD6A25" w:rsidRDefault="00000000">
      <w:pPr>
        <w:spacing w:beforeAutospacing="1" w:afterAutospacing="1"/>
        <w:rPr>
          <w:rFonts w:cs="Arial"/>
        </w:rPr>
      </w:pPr>
      <w:r>
        <w:rPr>
          <w:rFonts w:cs="Arial"/>
        </w:rPr>
        <w:t xml:space="preserve">At an institutional level, the </w:t>
      </w:r>
      <w:proofErr w:type="gramStart"/>
      <w:r>
        <w:rPr>
          <w:rFonts w:cs="Arial"/>
        </w:rPr>
        <w:t>City</w:t>
      </w:r>
      <w:proofErr w:type="gramEnd"/>
      <w:r>
        <w:rPr>
          <w:rFonts w:cs="Arial"/>
        </w:rPr>
        <w:t xml:space="preserve"> partners with the New Mexico Coalition to End Homelessness (NMCEH) in the administration and delivery of Continuum of Care (CoC) services. In addition to the leadership provided by the CoC Board of Directors, the Albuquerque Strategic Collaborative holds monthly meetings at which members develop and vote on CoC related issues, such as the CoC Governance Charter and Common Standards.</w:t>
      </w:r>
    </w:p>
    <w:p w:rsidR="00CD6A25" w:rsidRDefault="00000000">
      <w:pPr>
        <w:rPr>
          <w:b/>
          <w:sz w:val="24"/>
          <w:szCs w:val="24"/>
        </w:rPr>
      </w:pPr>
      <w:r>
        <w:rPr>
          <w:b/>
          <w:sz w:val="24"/>
          <w:szCs w:val="24"/>
        </w:rPr>
        <w:t>Describe consultation with the Continuum(s) of Care that serves the jurisdiction's area in determining how to allocate ESG funds, develop performance standards for and evaluate outcomes of projects and activities assisted by ESG funds, and develop funding, policies and procedures for the operation and administration of HMIS</w:t>
      </w:r>
    </w:p>
    <w:p w:rsidR="00CD6A25" w:rsidRDefault="00000000">
      <w:pPr>
        <w:spacing w:beforeAutospacing="1" w:afterAutospacing="1"/>
        <w:rPr>
          <w:rFonts w:cs="Arial"/>
        </w:rPr>
      </w:pPr>
      <w:r>
        <w:rPr>
          <w:rFonts w:cs="Arial"/>
        </w:rPr>
        <w:t xml:space="preserve">The City contracts with the NMCEH to manage and coordinate the CoC. Under the CoC Governance Charter, each year NMCEH will work with the City to develop performance standards for evaluating the effectiveness of ESG program funded activities. These performance standards will be presented to the Albuquerque CoC's monthly meetings for discussion and feedback. Based on feedback from the Albuquerque CoC, the </w:t>
      </w:r>
      <w:proofErr w:type="gramStart"/>
      <w:r>
        <w:rPr>
          <w:rFonts w:cs="Arial"/>
        </w:rPr>
        <w:t>City</w:t>
      </w:r>
      <w:proofErr w:type="gramEnd"/>
      <w:r>
        <w:rPr>
          <w:rFonts w:cs="Arial"/>
        </w:rPr>
        <w:t xml:space="preserve"> will use the performance standard data to determine if the current allocation strategy is effectively meeting the City's goals for reducing and preventing homeless.</w:t>
      </w:r>
    </w:p>
    <w:p w:rsidR="00CD6A25" w:rsidRDefault="00000000">
      <w:pPr>
        <w:spacing w:beforeAutospacing="1" w:afterAutospacing="1"/>
        <w:rPr>
          <w:rFonts w:cs="Arial"/>
        </w:rPr>
      </w:pPr>
      <w:r>
        <w:rPr>
          <w:rFonts w:cs="Arial"/>
        </w:rPr>
        <w:t xml:space="preserve">The </w:t>
      </w:r>
      <w:proofErr w:type="gramStart"/>
      <w:r>
        <w:rPr>
          <w:rFonts w:cs="Arial"/>
        </w:rPr>
        <w:t>City</w:t>
      </w:r>
      <w:proofErr w:type="gramEnd"/>
      <w:r>
        <w:rPr>
          <w:rFonts w:cs="Arial"/>
        </w:rPr>
        <w:t xml:space="preserve"> recognizes that due to several factors including the rising costs of housing, the homeless population in Albuquerque has grown in recent years. Providing housing and additional services for this </w:t>
      </w:r>
      <w:r>
        <w:rPr>
          <w:rFonts w:cs="Arial"/>
        </w:rPr>
        <w:lastRenderedPageBreak/>
        <w:t>population has also been difficult due to the shortage of affordable housing in the community. The City has pledged its own resources, as well as CDBG, HOME, ESG and CoC funds to increase services for at-risk populations and increase affordable housing opportunities for its most vulnerable populations.</w:t>
      </w:r>
    </w:p>
    <w:p w:rsidR="00CD6A25" w:rsidRDefault="00000000">
      <w:pPr>
        <w:spacing w:beforeAutospacing="1" w:afterAutospacing="1"/>
        <w:rPr>
          <w:rFonts w:cs="Arial"/>
        </w:rPr>
      </w:pPr>
      <w:r>
        <w:rPr>
          <w:rFonts w:cs="Arial"/>
        </w:rPr>
        <w:t>NMCEH provides coordination and management of the local Homeless Management Information System (HMIS) and is responsible for maintaining policies and procedures for the use of HMIS throughout the CoC. NMCEH worked collaboratively with CoC member organizations to develop the local HMIS system. In addition, NMCEH provides technical assistance to its CoC member organization in order to meet HMIS requirements.</w:t>
      </w:r>
    </w:p>
    <w:p w:rsidR="00CD6A25" w:rsidRDefault="00000000">
      <w:pPr>
        <w:rPr>
          <w:b/>
          <w:sz w:val="24"/>
          <w:szCs w:val="24"/>
        </w:rPr>
      </w:pPr>
      <w:r>
        <w:rPr>
          <w:b/>
          <w:sz w:val="24"/>
          <w:szCs w:val="24"/>
        </w:rPr>
        <w:t>2.</w:t>
      </w:r>
      <w:r>
        <w:rPr>
          <w:b/>
          <w:sz w:val="24"/>
          <w:szCs w:val="24"/>
        </w:rPr>
        <w:tab/>
        <w:t>Describe Agencies, groups, organizations and others who participated in the process and describe the jurisdiction’s consultations with housing, social service agencies and other entities</w:t>
      </w:r>
    </w:p>
    <w:p w:rsidR="00CD6A25" w:rsidRDefault="00CD6A25">
      <w:pPr>
        <w:keepNext/>
        <w:widowControl w:val="0"/>
        <w:spacing w:after="0" w:line="240" w:lineRule="auto"/>
        <w:rPr>
          <w:b/>
          <w:bCs/>
        </w:rPr>
        <w:sectPr w:rsidR="00CD6A25">
          <w:pgSz w:w="12240" w:h="15840"/>
          <w:pgMar w:top="1440" w:right="1440" w:bottom="1440" w:left="1440" w:header="720" w:footer="720" w:gutter="0"/>
          <w:cols w:space="720"/>
          <w:docGrid w:linePitch="360"/>
        </w:sectPr>
      </w:pPr>
    </w:p>
    <w:p w:rsidR="00CD6A25" w:rsidRDefault="00000000">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Agencies, groups, organizations who participated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5076"/>
        <w:gridCol w:w="7434"/>
      </w:tblGrid>
      <w:tr w:rsidR="00CD6A25">
        <w:trPr>
          <w:cantSplit/>
        </w:trPr>
        <w:tc>
          <w:tcPr>
            <w:tcW w:w="0" w:type="auto"/>
            <w:vMerge w:val="restart"/>
          </w:tcPr>
          <w:p w:rsidR="00CD6A25" w:rsidRDefault="00000000">
            <w:pPr>
              <w:keepNext/>
              <w:spacing w:before="100" w:after="0"/>
            </w:pPr>
            <w:r>
              <w:rPr>
                <w:color w:val="000000"/>
              </w:rPr>
              <w:t>1</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Albuquerque Housing Authority</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Housing</w:t>
            </w:r>
            <w:r>
              <w:rPr>
                <w:color w:val="000000"/>
              </w:rPr>
              <w:br/>
              <w:t>PHA</w:t>
            </w:r>
            <w:r>
              <w:rPr>
                <w:color w:val="000000"/>
              </w:rPr>
              <w:br/>
              <w:t>Other government - Local</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Housing Need Assessment</w:t>
            </w:r>
            <w:r>
              <w:rPr>
                <w:color w:val="000000"/>
              </w:rPr>
              <w:br/>
              <w:t>Public Housing Needs</w:t>
            </w:r>
            <w:r>
              <w:rPr>
                <w:color w:val="000000"/>
              </w:rPr>
              <w:br/>
              <w:t>Market Analysis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Albuquerque Housing Authority (AHA) provided data related to residents, properties, and waiting lists and needs for affordable housing. Additionally, the Executive Director participated in a stakeholder interview, members of the Board participated in the focus groups, and AHA residents participated in the community survey. AHA also provides data on their voucher program and public housing units. AHA has also participated in discussions regarding the preservation of existing affordable housing. Staff of AHA participates in the Affordable Housing Committee regularly.</w:t>
            </w:r>
          </w:p>
        </w:tc>
      </w:tr>
      <w:tr w:rsidR="00CD6A25">
        <w:trPr>
          <w:cantSplit/>
        </w:trPr>
        <w:tc>
          <w:tcPr>
            <w:tcW w:w="0" w:type="auto"/>
            <w:vMerge w:val="restart"/>
          </w:tcPr>
          <w:p w:rsidR="00CD6A25" w:rsidRDefault="00000000">
            <w:pPr>
              <w:keepNext/>
              <w:spacing w:before="100" w:after="0"/>
            </w:pPr>
            <w:r>
              <w:rPr>
                <w:color w:val="000000"/>
              </w:rPr>
              <w:t>2</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CABQ Metropolitan Redevelopment Agency</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Other government - Local</w:t>
            </w:r>
            <w:r>
              <w:rPr>
                <w:color w:val="000000"/>
              </w:rPr>
              <w:br/>
              <w:t>Planning organization</w:t>
            </w:r>
            <w:r>
              <w:rPr>
                <w:color w:val="000000"/>
              </w:rPr>
              <w:br/>
              <w:t>Grantee Department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Housing Need Assessment</w:t>
            </w:r>
            <w:r>
              <w:rPr>
                <w:color w:val="000000"/>
              </w:rPr>
              <w:br/>
              <w:t>Non-Homeless Special Needs</w:t>
            </w:r>
            <w:r>
              <w:rPr>
                <w:color w:val="000000"/>
              </w:rPr>
              <w:br/>
              <w:t>Market Analysis</w:t>
            </w:r>
            <w:r>
              <w:rPr>
                <w:color w:val="000000"/>
              </w:rPr>
              <w:br/>
              <w:t>Economic Development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The City of Albuquerque Metropolitan Redevelopment Agency (MRA) participated in several stakeholder interviews and provided data as needed. The Department meets monthly with MRA to coordinate efforts on affordable housing.</w:t>
            </w:r>
          </w:p>
        </w:tc>
      </w:tr>
      <w:tr w:rsidR="00CD6A25">
        <w:trPr>
          <w:cantSplit/>
        </w:trPr>
        <w:tc>
          <w:tcPr>
            <w:tcW w:w="0" w:type="auto"/>
            <w:vMerge w:val="restart"/>
          </w:tcPr>
          <w:p w:rsidR="00CD6A25" w:rsidRDefault="00000000">
            <w:pPr>
              <w:keepNext/>
              <w:spacing w:before="100" w:after="0"/>
            </w:pPr>
            <w:r>
              <w:rPr>
                <w:color w:val="000000"/>
              </w:rPr>
              <w:t>3</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City of Albuquerque Planning Department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Other government - Local</w:t>
            </w:r>
            <w:r>
              <w:rPr>
                <w:color w:val="000000"/>
              </w:rPr>
              <w:br/>
              <w:t>Planning organization</w:t>
            </w:r>
            <w:r>
              <w:rPr>
                <w:color w:val="000000"/>
              </w:rPr>
              <w:br/>
              <w:t>Grantee Department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Housing Need Assessment</w:t>
            </w:r>
            <w:r>
              <w:rPr>
                <w:color w:val="000000"/>
              </w:rPr>
              <w:br/>
              <w:t>Non-Homeless Special Needs</w:t>
            </w:r>
            <w:r>
              <w:rPr>
                <w:color w:val="000000"/>
              </w:rPr>
              <w:br/>
              <w:t>Market Analysis</w:t>
            </w:r>
            <w:r>
              <w:rPr>
                <w:color w:val="000000"/>
              </w:rPr>
              <w:br/>
              <w:t>Economic Development</w:t>
            </w:r>
            <w:r>
              <w:rPr>
                <w:color w:val="000000"/>
              </w:rPr>
              <w:br/>
              <w:t>Anti-poverty Strategy</w:t>
            </w:r>
            <w:r>
              <w:rPr>
                <w:color w:val="000000"/>
              </w:rPr>
              <w:br/>
              <w:t>Lead-based Paint Strategy</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Members of the Planning Department participated in stakeholder interviews and help informed the completion of sections of the Plan addressing zoning regulations and policies, barriers to affordable housing, code enforcement, climate change and hazard mitigation and the City's Comprehensive Plan. The Planning Department is represented at the regular Affordable Housing Committee meetings.</w:t>
            </w:r>
          </w:p>
        </w:tc>
      </w:tr>
      <w:tr w:rsidR="00CD6A25">
        <w:trPr>
          <w:cantSplit/>
        </w:trPr>
        <w:tc>
          <w:tcPr>
            <w:tcW w:w="0" w:type="auto"/>
            <w:vMerge w:val="restart"/>
          </w:tcPr>
          <w:p w:rsidR="00CD6A25" w:rsidRDefault="00000000">
            <w:pPr>
              <w:keepNext/>
              <w:spacing w:before="100" w:after="0"/>
            </w:pPr>
            <w:r>
              <w:rPr>
                <w:color w:val="000000"/>
              </w:rPr>
              <w:t>4</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City of Albuquerque Department of Senior Affairs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Housing</w:t>
            </w:r>
            <w:r>
              <w:rPr>
                <w:color w:val="000000"/>
              </w:rPr>
              <w:br/>
              <w:t>Services-Elderly Persons</w:t>
            </w:r>
            <w:r>
              <w:rPr>
                <w:color w:val="000000"/>
              </w:rPr>
              <w:br/>
              <w:t>Services-Persons with Disabilities</w:t>
            </w:r>
            <w:r>
              <w:rPr>
                <w:color w:val="000000"/>
              </w:rPr>
              <w:br/>
              <w:t>Other government - Local</w:t>
            </w:r>
            <w:r>
              <w:rPr>
                <w:color w:val="000000"/>
              </w:rPr>
              <w:br/>
              <w:t>Grantee Department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Housing Need Assessment</w:t>
            </w:r>
            <w:r>
              <w:rPr>
                <w:color w:val="000000"/>
              </w:rPr>
              <w:br/>
              <w:t>Non-Homeless Special Needs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The Department of Senior Affairs staff participated in stakeholder interviews and focus groups. Focus groups with seniors occurred at two of the community senior centers. Additionally, staff help publicize the survey to residents. 1:1 consultation done with Senior Affairs discussing meals programs for seniors.</w:t>
            </w:r>
          </w:p>
        </w:tc>
      </w:tr>
      <w:tr w:rsidR="00CD6A25">
        <w:trPr>
          <w:cantSplit/>
        </w:trPr>
        <w:tc>
          <w:tcPr>
            <w:tcW w:w="0" w:type="auto"/>
            <w:vMerge w:val="restart"/>
          </w:tcPr>
          <w:p w:rsidR="00CD6A25" w:rsidRDefault="00000000">
            <w:pPr>
              <w:keepNext/>
              <w:spacing w:before="100" w:after="0"/>
            </w:pPr>
            <w:r>
              <w:rPr>
                <w:color w:val="000000"/>
              </w:rPr>
              <w:t>5</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NEW MEXICO COALITION TO END HOMELESSNESS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Services-homeless</w:t>
            </w:r>
            <w:r>
              <w:rPr>
                <w:color w:val="000000"/>
              </w:rPr>
              <w:br/>
              <w:t>Publicly Funded Institution/System of Care</w:t>
            </w:r>
            <w:r>
              <w:rPr>
                <w:color w:val="000000"/>
              </w:rPr>
              <w:br/>
              <w:t>Regional organization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Housing Need Assessment</w:t>
            </w:r>
            <w:r>
              <w:rPr>
                <w:color w:val="000000"/>
              </w:rPr>
              <w:b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t>Homelessness Needs - Veterans</w:t>
            </w:r>
            <w:r>
              <w:rPr>
                <w:color w:val="000000"/>
              </w:rPr>
              <w:br/>
              <w:t>Homelessness Needs - Unaccompanied youth</w:t>
            </w:r>
            <w:r>
              <w:rPr>
                <w:color w:val="000000"/>
              </w:rPr>
              <w:br/>
              <w:t>Homelessness Strategy</w:t>
            </w:r>
            <w:r>
              <w:rPr>
                <w:color w:val="000000"/>
              </w:rPr>
              <w:br/>
              <w:t>Non-Homeless Special Needs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The New Mexico Coalition to End Homelessness staff participated in stakeholder interviews and focus groups for the Consolidated Plan. Additionally, NMCEH provided data to help populate sections of the report.</w:t>
            </w:r>
          </w:p>
        </w:tc>
      </w:tr>
      <w:tr w:rsidR="00CD6A25">
        <w:trPr>
          <w:cantSplit/>
        </w:trPr>
        <w:tc>
          <w:tcPr>
            <w:tcW w:w="0" w:type="auto"/>
            <w:vMerge w:val="restart"/>
          </w:tcPr>
          <w:p w:rsidR="00CD6A25" w:rsidRDefault="00000000">
            <w:pPr>
              <w:keepNext/>
              <w:spacing w:before="100" w:after="0"/>
            </w:pPr>
            <w:r>
              <w:rPr>
                <w:color w:val="000000"/>
              </w:rPr>
              <w:lastRenderedPageBreak/>
              <w:t>6</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High Desert Housing</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Housing</w:t>
            </w:r>
            <w:r>
              <w:rPr>
                <w:color w:val="000000"/>
              </w:rPr>
              <w:br/>
              <w:t>Services - Housing</w:t>
            </w:r>
            <w:r>
              <w:rPr>
                <w:color w:val="000000"/>
              </w:rPr>
              <w:br/>
              <w:t>Services-Elderly Persons</w:t>
            </w:r>
            <w:r>
              <w:rPr>
                <w:color w:val="000000"/>
              </w:rPr>
              <w:br/>
              <w:t>Services-Persons with Disabilities</w:t>
            </w:r>
            <w:r>
              <w:rPr>
                <w:color w:val="000000"/>
              </w:rPr>
              <w:br/>
              <w:t>Regional organization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Housing Need Assessment</w:t>
            </w:r>
            <w:r>
              <w:rPr>
                <w:color w:val="000000"/>
              </w:rPr>
              <w:br/>
              <w:t>Non-Homeless Special Needs</w:t>
            </w:r>
            <w:r>
              <w:rPr>
                <w:color w:val="000000"/>
              </w:rPr>
              <w:br/>
              <w:t>Market Analysis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High Desert Housing participated in a stakeholder interview. This consultation helped inform the unique needs of special populations, such as persons with disabilities and seniors.</w:t>
            </w:r>
          </w:p>
        </w:tc>
      </w:tr>
      <w:tr w:rsidR="00CD6A25">
        <w:trPr>
          <w:cantSplit/>
        </w:trPr>
        <w:tc>
          <w:tcPr>
            <w:tcW w:w="0" w:type="auto"/>
            <w:vMerge w:val="restart"/>
          </w:tcPr>
          <w:p w:rsidR="00CD6A25" w:rsidRDefault="00000000">
            <w:pPr>
              <w:keepNext/>
              <w:spacing w:before="100" w:after="0"/>
            </w:pPr>
            <w:r>
              <w:rPr>
                <w:color w:val="000000"/>
              </w:rPr>
              <w:t>8</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 xml:space="preserve">Centro </w:t>
            </w:r>
            <w:proofErr w:type="spellStart"/>
            <w:r>
              <w:rPr>
                <w:color w:val="000000"/>
              </w:rPr>
              <w:t>Savila</w:t>
            </w:r>
            <w:proofErr w:type="spellEnd"/>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Services-Health</w:t>
            </w:r>
            <w:r>
              <w:rPr>
                <w:color w:val="000000"/>
              </w:rPr>
              <w:br/>
              <w:t>Health Agency</w:t>
            </w:r>
            <w:r>
              <w:rPr>
                <w:color w:val="000000"/>
              </w:rPr>
              <w:br/>
              <w:t>Hispanic Community</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Homeless Needs - Chronically homeless</w:t>
            </w:r>
            <w:r>
              <w:rPr>
                <w:color w:val="000000"/>
              </w:rPr>
              <w:br/>
              <w:t>Non-Homeless Special Needs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 xml:space="preserve">Centro </w:t>
            </w:r>
            <w:proofErr w:type="spellStart"/>
            <w:r>
              <w:rPr>
                <w:color w:val="000000"/>
              </w:rPr>
              <w:t>Savila</w:t>
            </w:r>
            <w:proofErr w:type="spellEnd"/>
            <w:r>
              <w:rPr>
                <w:color w:val="000000"/>
              </w:rPr>
              <w:t xml:space="preserve"> participated in a stakeholder interview. This consultation helped inform the needs of persons with mental health conditions and the Hispanic community.</w:t>
            </w:r>
          </w:p>
        </w:tc>
      </w:tr>
      <w:tr w:rsidR="00CD6A25">
        <w:trPr>
          <w:cantSplit/>
        </w:trPr>
        <w:tc>
          <w:tcPr>
            <w:tcW w:w="0" w:type="auto"/>
            <w:vMerge w:val="restart"/>
          </w:tcPr>
          <w:p w:rsidR="00CD6A25" w:rsidRDefault="00000000">
            <w:pPr>
              <w:keepNext/>
              <w:spacing w:before="100" w:after="0"/>
            </w:pPr>
            <w:r>
              <w:rPr>
                <w:color w:val="000000"/>
              </w:rPr>
              <w:lastRenderedPageBreak/>
              <w:t>9</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proofErr w:type="spellStart"/>
            <w:r>
              <w:rPr>
                <w:color w:val="000000"/>
              </w:rPr>
              <w:t>Hopeworks</w:t>
            </w:r>
            <w:proofErr w:type="spellEnd"/>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Services - Housing</w:t>
            </w:r>
            <w:r>
              <w:rPr>
                <w:color w:val="000000"/>
              </w:rPr>
              <w:br/>
              <w:t>Services-Victims of Domestic Violence</w:t>
            </w:r>
            <w:r>
              <w:rPr>
                <w:color w:val="000000"/>
              </w:rPr>
              <w:br/>
              <w:t>Services-homeless</w:t>
            </w:r>
            <w:r>
              <w:rPr>
                <w:color w:val="000000"/>
              </w:rPr>
              <w:br/>
              <w:t>Services - Victims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Housing Need Assessment</w:t>
            </w:r>
            <w:r>
              <w:rPr>
                <w:color w:val="000000"/>
              </w:rPr>
              <w:b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t>Homelessness Needs - Veterans</w:t>
            </w:r>
            <w:r>
              <w:rPr>
                <w:color w:val="000000"/>
              </w:rPr>
              <w:br/>
              <w:t>Homelessness Needs - Unaccompanied youth</w:t>
            </w:r>
            <w:r>
              <w:rPr>
                <w:color w:val="000000"/>
              </w:rPr>
              <w:br/>
              <w:t>Homelessness Strategy</w:t>
            </w:r>
            <w:r>
              <w:rPr>
                <w:color w:val="000000"/>
              </w:rPr>
              <w:br/>
              <w:t>Non-Homeless Special Needs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proofErr w:type="spellStart"/>
            <w:r>
              <w:rPr>
                <w:color w:val="000000"/>
              </w:rPr>
              <w:t>Hopeworks</w:t>
            </w:r>
            <w:proofErr w:type="spellEnd"/>
            <w:r>
              <w:rPr>
                <w:color w:val="000000"/>
              </w:rPr>
              <w:t xml:space="preserve"> participated in a stakeholder interview. This consultation helped inform the needs, both housing and services, for people experiencing homelessness.</w:t>
            </w:r>
          </w:p>
        </w:tc>
      </w:tr>
      <w:tr w:rsidR="00CD6A25">
        <w:trPr>
          <w:cantSplit/>
        </w:trPr>
        <w:tc>
          <w:tcPr>
            <w:tcW w:w="0" w:type="auto"/>
            <w:vMerge w:val="restart"/>
          </w:tcPr>
          <w:p w:rsidR="00CD6A25" w:rsidRDefault="00000000">
            <w:pPr>
              <w:keepNext/>
              <w:spacing w:before="100" w:after="0"/>
            </w:pPr>
            <w:r>
              <w:rPr>
                <w:color w:val="000000"/>
              </w:rPr>
              <w:t>10</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Albuquerque Healthcare for the Homeless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Services-Persons with Disabilities</w:t>
            </w:r>
            <w:r>
              <w:rPr>
                <w:color w:val="000000"/>
              </w:rPr>
              <w:br/>
              <w:t>Services-Persons with HIV/AIDS</w:t>
            </w:r>
            <w:r>
              <w:rPr>
                <w:color w:val="000000"/>
              </w:rPr>
              <w:br/>
              <w:t>Services-Victims of Domestic Violence</w:t>
            </w:r>
            <w:r>
              <w:rPr>
                <w:color w:val="000000"/>
              </w:rPr>
              <w:br/>
              <w:t>Services-homeless</w:t>
            </w:r>
            <w:r>
              <w:rPr>
                <w:color w:val="000000"/>
              </w:rPr>
              <w:br/>
              <w:t>Services-Health</w:t>
            </w:r>
            <w:r>
              <w:rPr>
                <w:color w:val="000000"/>
              </w:rPr>
              <w:br/>
              <w:t>Services - Victims</w:t>
            </w:r>
            <w:r>
              <w:rPr>
                <w:color w:val="000000"/>
              </w:rPr>
              <w:br/>
              <w:t>Health Agency</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t>Homelessness Needs - Veterans</w:t>
            </w:r>
            <w:r>
              <w:rPr>
                <w:color w:val="000000"/>
              </w:rPr>
              <w:br/>
              <w:t>Homelessness Needs - Unaccompanied youth</w:t>
            </w:r>
            <w:r>
              <w:rPr>
                <w:color w:val="000000"/>
              </w:rPr>
              <w:br/>
              <w:t>Homelessness Strategy</w:t>
            </w:r>
            <w:r>
              <w:rPr>
                <w:color w:val="000000"/>
              </w:rPr>
              <w:br/>
              <w:t>Non-Homeless Special Needs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Albuquerque Healthcare for the Homeless staff participated in stakeholder interviews and focus groups. This consultation helped provide necessary information to complete sections of the plan and to identify non-housing related needs of people experiencing homelessness in Albuquerque.</w:t>
            </w:r>
          </w:p>
        </w:tc>
      </w:tr>
      <w:tr w:rsidR="00CD6A25">
        <w:trPr>
          <w:cantSplit/>
        </w:trPr>
        <w:tc>
          <w:tcPr>
            <w:tcW w:w="0" w:type="auto"/>
            <w:vMerge w:val="restart"/>
          </w:tcPr>
          <w:p w:rsidR="00CD6A25" w:rsidRDefault="00000000">
            <w:pPr>
              <w:keepNext/>
              <w:spacing w:before="100" w:after="0"/>
            </w:pPr>
            <w:r>
              <w:rPr>
                <w:color w:val="000000"/>
              </w:rPr>
              <w:t>11</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Albuquerque Heading Home</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Services - Housing</w:t>
            </w:r>
            <w:r>
              <w:rPr>
                <w:color w:val="000000"/>
              </w:rPr>
              <w:br/>
              <w:t>Services-Victims of Domestic Violence</w:t>
            </w:r>
            <w:r>
              <w:rPr>
                <w:color w:val="000000"/>
              </w:rPr>
              <w:br/>
              <w:t>Services-homeless</w:t>
            </w:r>
            <w:r>
              <w:rPr>
                <w:color w:val="000000"/>
              </w:rPr>
              <w:br/>
              <w:t>Services-Health</w:t>
            </w:r>
            <w:r>
              <w:rPr>
                <w:color w:val="000000"/>
              </w:rPr>
              <w:br/>
              <w:t>Service-Fair Housing</w:t>
            </w:r>
            <w:r>
              <w:rPr>
                <w:color w:val="000000"/>
              </w:rPr>
              <w:br/>
              <w:t>Regional organization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Housing Need Assessment</w:t>
            </w:r>
            <w:r>
              <w:rPr>
                <w:color w:val="000000"/>
              </w:rPr>
              <w:b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t>Homelessness Needs - Veterans</w:t>
            </w:r>
            <w:r>
              <w:rPr>
                <w:color w:val="000000"/>
              </w:rPr>
              <w:br/>
              <w:t>Homelessness Needs - Unaccompanied youth</w:t>
            </w:r>
            <w:r>
              <w:rPr>
                <w:color w:val="000000"/>
              </w:rPr>
              <w:br/>
              <w:t>Homelessness Strategy</w:t>
            </w:r>
            <w:r>
              <w:rPr>
                <w:color w:val="000000"/>
              </w:rPr>
              <w:br/>
              <w:t>Non-Homeless Special Needs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Heading Home staff participated in stakeholder interviews and focus groups. This consultation provided information necessary to complete sections of the Plan addressing the need for emergency and transitional housing for vulnerable communities, as well as necessary support services to keep them permanently housed.</w:t>
            </w:r>
          </w:p>
        </w:tc>
      </w:tr>
      <w:tr w:rsidR="00CD6A25">
        <w:trPr>
          <w:cantSplit/>
        </w:trPr>
        <w:tc>
          <w:tcPr>
            <w:tcW w:w="0" w:type="auto"/>
            <w:vMerge w:val="restart"/>
          </w:tcPr>
          <w:p w:rsidR="00CD6A25" w:rsidRDefault="00000000">
            <w:pPr>
              <w:keepNext/>
              <w:spacing w:before="100" w:after="0"/>
            </w:pPr>
            <w:r>
              <w:rPr>
                <w:color w:val="000000"/>
              </w:rPr>
              <w:t>12</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GREATER ALBUQUERQUE HOUSING PARTNERSHIP</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Housing</w:t>
            </w:r>
            <w:r>
              <w:rPr>
                <w:color w:val="000000"/>
              </w:rPr>
              <w:br/>
              <w:t>Services - Housing</w:t>
            </w:r>
            <w:r>
              <w:rPr>
                <w:color w:val="000000"/>
              </w:rPr>
              <w:br/>
              <w:t>Services-Education</w:t>
            </w:r>
            <w:r>
              <w:rPr>
                <w:color w:val="000000"/>
              </w:rPr>
              <w:br/>
              <w:t>Service-Fair Housing</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Housing Need Assessment</w:t>
            </w:r>
            <w:r>
              <w:rPr>
                <w:color w:val="000000"/>
              </w:rPr>
              <w:b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t>Non-Homeless Special Needs</w:t>
            </w:r>
            <w:r>
              <w:rPr>
                <w:color w:val="000000"/>
              </w:rPr>
              <w:br/>
              <w:t>Market Analysis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Greater Albuquerque Housing Partnership (Sol Housing) staff participated in stakeholder interviews and focus group discussions. This consultation provided information for the needs assessment and housing market analysis. There was also 1:1 consultation regarding infrastructure improvements to support affordable housing projects. Staff from Sol Housing participates in the Affordable Housing Committee regularly.</w:t>
            </w:r>
          </w:p>
        </w:tc>
      </w:tr>
      <w:tr w:rsidR="00CD6A25">
        <w:trPr>
          <w:cantSplit/>
        </w:trPr>
        <w:tc>
          <w:tcPr>
            <w:tcW w:w="0" w:type="auto"/>
            <w:vMerge w:val="restart"/>
          </w:tcPr>
          <w:p w:rsidR="00CD6A25" w:rsidRDefault="00000000">
            <w:pPr>
              <w:keepNext/>
              <w:spacing w:before="100" w:after="0"/>
            </w:pPr>
            <w:r>
              <w:rPr>
                <w:color w:val="000000"/>
              </w:rPr>
              <w:t>13</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YES HOUSING, INC.</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Housing</w:t>
            </w:r>
            <w:r>
              <w:rPr>
                <w:color w:val="000000"/>
              </w:rPr>
              <w:br/>
              <w:t>Services - Housing</w:t>
            </w:r>
            <w:r>
              <w:rPr>
                <w:color w:val="000000"/>
              </w:rPr>
              <w:br/>
              <w:t>Service-Fair Housing</w:t>
            </w:r>
            <w:r>
              <w:rPr>
                <w:color w:val="000000"/>
              </w:rPr>
              <w:br/>
              <w:t>Regional organization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Housing Need Assessment</w:t>
            </w:r>
            <w:r>
              <w:rPr>
                <w:color w:val="000000"/>
              </w:rPr>
              <w:b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t>Homelessness Strategy</w:t>
            </w:r>
            <w:r>
              <w:rPr>
                <w:color w:val="000000"/>
              </w:rPr>
              <w:br/>
              <w:t>Market Analysis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YES Housing, Inc. participated in stakeholder interviews and the community survey. This consultation provided information necessary to complete sections of the Plan addressing supportive service needs of the vulnerably housed, affordable housing development and housing rehabilitation. Staff from YES Housing participates in the Affordable Housing Committee regularly.</w:t>
            </w:r>
          </w:p>
        </w:tc>
      </w:tr>
      <w:tr w:rsidR="00CD6A25">
        <w:trPr>
          <w:cantSplit/>
        </w:trPr>
        <w:tc>
          <w:tcPr>
            <w:tcW w:w="0" w:type="auto"/>
            <w:vMerge w:val="restart"/>
          </w:tcPr>
          <w:p w:rsidR="00CD6A25" w:rsidRDefault="00000000">
            <w:pPr>
              <w:keepNext/>
              <w:spacing w:before="100" w:after="0"/>
            </w:pPr>
            <w:r>
              <w:rPr>
                <w:color w:val="000000"/>
              </w:rPr>
              <w:t>14</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New Mexico Mortgage Finance Authority</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Housing</w:t>
            </w:r>
            <w:r>
              <w:rPr>
                <w:color w:val="000000"/>
              </w:rPr>
              <w:br/>
              <w:t>Services - Housing</w:t>
            </w:r>
            <w:r>
              <w:rPr>
                <w:color w:val="000000"/>
              </w:rPr>
              <w:br/>
              <w:t>Services-homeless</w:t>
            </w:r>
            <w:r>
              <w:rPr>
                <w:color w:val="000000"/>
              </w:rPr>
              <w:br/>
              <w:t>Service-Fair Housing</w:t>
            </w:r>
            <w:r>
              <w:rPr>
                <w:color w:val="000000"/>
              </w:rPr>
              <w:br/>
              <w:t>Other government - State</w:t>
            </w:r>
            <w:r>
              <w:rPr>
                <w:color w:val="000000"/>
              </w:rPr>
              <w:br/>
              <w:t>Community Development Financial Institution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Housing Need Assessment</w:t>
            </w:r>
            <w:r>
              <w:rPr>
                <w:color w:val="000000"/>
              </w:rPr>
              <w:b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t>Homelessness Strategy</w:t>
            </w:r>
            <w:r>
              <w:rPr>
                <w:color w:val="000000"/>
              </w:rPr>
              <w:br/>
              <w:t>Market Analysis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Mortgage Finance Authority participated in stakeholder interviews, focus groups, and public hearings. This consultation provided information necessary to complete sections of the Plan addressing affordable home ownership, the needs of vulnerable populations and the precariously housed, and investment in affordable housing development. The MFA is represented on the City's Affordable Housing Committee and was informed of the 2025 Action Plan and public comment period. By coordinating with the MFA on strategic planning issues, the City will improve coordination on the joint funding of many of the City's affordable housing development projects. The City also consulted with the MFA's Community Development Section regarding HOPWA funds, which resulted in an MOU where the MFA administers those funds for the City.</w:t>
            </w:r>
          </w:p>
        </w:tc>
      </w:tr>
      <w:tr w:rsidR="00CD6A25">
        <w:trPr>
          <w:cantSplit/>
        </w:trPr>
        <w:tc>
          <w:tcPr>
            <w:tcW w:w="0" w:type="auto"/>
            <w:vMerge w:val="restart"/>
          </w:tcPr>
          <w:p w:rsidR="00CD6A25" w:rsidRDefault="00000000">
            <w:pPr>
              <w:keepNext/>
              <w:spacing w:before="100" w:after="0"/>
            </w:pPr>
            <w:r>
              <w:rPr>
                <w:color w:val="000000"/>
              </w:rPr>
              <w:t>15</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 xml:space="preserve">Enlace </w:t>
            </w:r>
            <w:proofErr w:type="spellStart"/>
            <w:r>
              <w:rPr>
                <w:color w:val="000000"/>
              </w:rPr>
              <w:t>Comunitario</w:t>
            </w:r>
            <w:proofErr w:type="spellEnd"/>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Services-Victims of Domestic Violence</w:t>
            </w:r>
            <w:r>
              <w:rPr>
                <w:color w:val="000000"/>
              </w:rPr>
              <w:br/>
              <w:t>Services-homeless</w:t>
            </w:r>
            <w:r>
              <w:rPr>
                <w:color w:val="000000"/>
              </w:rPr>
              <w:br/>
              <w:t>Services-Education</w:t>
            </w:r>
            <w:r>
              <w:rPr>
                <w:color w:val="000000"/>
              </w:rPr>
              <w:br/>
              <w:t>Services - Victims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Homeless Needs - Families with children</w:t>
            </w:r>
            <w:r>
              <w:rPr>
                <w:color w:val="000000"/>
              </w:rPr>
              <w:br/>
              <w:t>Non-Homeless Special Needs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 xml:space="preserve">Enlace </w:t>
            </w:r>
            <w:proofErr w:type="spellStart"/>
            <w:r>
              <w:rPr>
                <w:color w:val="000000"/>
              </w:rPr>
              <w:t>Comunitario</w:t>
            </w:r>
            <w:proofErr w:type="spellEnd"/>
            <w:r>
              <w:rPr>
                <w:color w:val="000000"/>
              </w:rPr>
              <w:t xml:space="preserve"> members participated in a focus group discussion. This consultation provided information necessary to complete sections of the Plan addressing the supportive service needs of women and children who are victimized by domestic violence, from emergency housing to health and social services. 1:1 consultation done with Enlace discussion the Tenant Based Rental Assistance Program (TBRA).</w:t>
            </w:r>
          </w:p>
        </w:tc>
      </w:tr>
      <w:tr w:rsidR="00CD6A25">
        <w:trPr>
          <w:cantSplit/>
        </w:trPr>
        <w:tc>
          <w:tcPr>
            <w:tcW w:w="0" w:type="auto"/>
            <w:vMerge w:val="restart"/>
          </w:tcPr>
          <w:p w:rsidR="00CD6A25" w:rsidRDefault="00000000">
            <w:pPr>
              <w:keepNext/>
              <w:spacing w:before="100" w:after="0"/>
            </w:pPr>
            <w:r>
              <w:rPr>
                <w:color w:val="000000"/>
              </w:rPr>
              <w:lastRenderedPageBreak/>
              <w:t>17</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Adelante Development Center</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Services-Elderly Persons</w:t>
            </w:r>
            <w:r>
              <w:rPr>
                <w:color w:val="000000"/>
              </w:rPr>
              <w:br/>
              <w:t>Services-Persons with Disabilities</w:t>
            </w:r>
            <w:r>
              <w:rPr>
                <w:color w:val="000000"/>
              </w:rPr>
              <w:br/>
              <w:t>Services-homeless</w:t>
            </w:r>
            <w:r>
              <w:rPr>
                <w:color w:val="000000"/>
              </w:rPr>
              <w:br/>
              <w:t>Services-Education</w:t>
            </w:r>
            <w:r>
              <w:rPr>
                <w:color w:val="000000"/>
              </w:rPr>
              <w:br/>
              <w:t>Services-Employment</w:t>
            </w:r>
            <w:r>
              <w:rPr>
                <w:color w:val="000000"/>
              </w:rPr>
              <w:br/>
              <w:t>Regional organization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Homeless Needs - Chronically homeless</w:t>
            </w:r>
            <w:r>
              <w:rPr>
                <w:color w:val="000000"/>
              </w:rPr>
              <w:br/>
              <w:t>Homelessness Needs - Veterans</w:t>
            </w:r>
            <w:r>
              <w:rPr>
                <w:color w:val="000000"/>
              </w:rPr>
              <w:br/>
              <w:t>Non-Homeless Special Needs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Adelante Development Center, Inc. participated in focus group discussions. This consultation provided information necessary to complete sections of the Plan addressing the housing and social service needs of disabled persons in the community, including disabled veterans and frail elderly. Adelante also provided information of technology literacy and the "digital divide" for seniors, persons of color, women and people with disabilities.</w:t>
            </w:r>
          </w:p>
        </w:tc>
      </w:tr>
      <w:tr w:rsidR="00CD6A25">
        <w:trPr>
          <w:cantSplit/>
        </w:trPr>
        <w:tc>
          <w:tcPr>
            <w:tcW w:w="0" w:type="auto"/>
            <w:vMerge w:val="restart"/>
          </w:tcPr>
          <w:p w:rsidR="00CD6A25" w:rsidRDefault="00000000">
            <w:pPr>
              <w:keepNext/>
              <w:spacing w:before="100" w:after="0"/>
            </w:pPr>
            <w:r>
              <w:rPr>
                <w:color w:val="000000"/>
              </w:rPr>
              <w:t>18</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Albuquerque Department of Economic Development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Planning organization</w:t>
            </w:r>
            <w:r>
              <w:rPr>
                <w:color w:val="000000"/>
              </w:rPr>
              <w:br/>
              <w:t>Grantee Department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Market Analysis</w:t>
            </w:r>
            <w:r>
              <w:rPr>
                <w:color w:val="000000"/>
              </w:rPr>
              <w:br/>
              <w:t>Economic Development</w:t>
            </w:r>
            <w:r>
              <w:rPr>
                <w:color w:val="000000"/>
              </w:rPr>
              <w:br/>
              <w:t>Anti-poverty Strategy</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The City of Albuquerque's Department of Economic Development staff participated in stakeholder interviews. This consultation provided information necessary to complete sections of the Plan addressing business development as a component of an anti-poverty strategy.</w:t>
            </w:r>
          </w:p>
        </w:tc>
      </w:tr>
      <w:tr w:rsidR="00CD6A25">
        <w:trPr>
          <w:cantSplit/>
        </w:trPr>
        <w:tc>
          <w:tcPr>
            <w:tcW w:w="0" w:type="auto"/>
            <w:vMerge w:val="restart"/>
          </w:tcPr>
          <w:p w:rsidR="00CD6A25" w:rsidRDefault="00000000">
            <w:pPr>
              <w:keepNext/>
              <w:spacing w:before="100" w:after="0"/>
            </w:pPr>
            <w:r>
              <w:rPr>
                <w:color w:val="000000"/>
              </w:rPr>
              <w:lastRenderedPageBreak/>
              <w:t>19</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University of New Mexico Health Sciences Center</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Services-Health</w:t>
            </w:r>
            <w:r>
              <w:rPr>
                <w:color w:val="000000"/>
              </w:rPr>
              <w:br/>
              <w:t>Services-Education</w:t>
            </w:r>
            <w:r>
              <w:rPr>
                <w:color w:val="000000"/>
              </w:rPr>
              <w:br/>
              <w:t>Publicly Funded Institution/System of Care</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Market Analysis</w:t>
            </w:r>
            <w:r>
              <w:rPr>
                <w:color w:val="000000"/>
              </w:rPr>
              <w:br/>
              <w:t>Economic Development</w:t>
            </w:r>
            <w:r>
              <w:rPr>
                <w:color w:val="000000"/>
              </w:rPr>
              <w:br/>
              <w:t>Anti-poverty Strategy</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University of New Mexico Health Sciences Center participated in stakeholder interviews and focus group discussion. This consultation provided information necessary to complete sections of the Plan addressing business development and career training as a components of anti-poverty strategies.</w:t>
            </w:r>
          </w:p>
        </w:tc>
      </w:tr>
      <w:tr w:rsidR="00CD6A25">
        <w:trPr>
          <w:cantSplit/>
        </w:trPr>
        <w:tc>
          <w:tcPr>
            <w:tcW w:w="0" w:type="auto"/>
            <w:vMerge w:val="restart"/>
          </w:tcPr>
          <w:p w:rsidR="00CD6A25" w:rsidRDefault="00000000">
            <w:pPr>
              <w:keepNext/>
              <w:spacing w:before="100" w:after="0"/>
            </w:pPr>
            <w:r>
              <w:rPr>
                <w:color w:val="000000"/>
              </w:rPr>
              <w:t>20</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proofErr w:type="spellStart"/>
            <w:r>
              <w:rPr>
                <w:color w:val="000000"/>
              </w:rPr>
              <w:t>Accion</w:t>
            </w:r>
            <w:proofErr w:type="spellEnd"/>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Small Business Assistance</w:t>
            </w:r>
            <w:r>
              <w:rPr>
                <w:color w:val="000000"/>
              </w:rPr>
              <w:br/>
              <w:t>Community Development Financial Institution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Market Analysis</w:t>
            </w:r>
            <w:r>
              <w:rPr>
                <w:color w:val="000000"/>
              </w:rPr>
              <w:br/>
              <w:t>Economic Development</w:t>
            </w:r>
            <w:r>
              <w:rPr>
                <w:color w:val="000000"/>
              </w:rPr>
              <w:br/>
              <w:t>Anti-poverty Strategy</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proofErr w:type="spellStart"/>
            <w:r>
              <w:rPr>
                <w:color w:val="000000"/>
              </w:rPr>
              <w:t>Accion</w:t>
            </w:r>
            <w:proofErr w:type="spellEnd"/>
            <w:r>
              <w:rPr>
                <w:color w:val="000000"/>
              </w:rPr>
              <w:t xml:space="preserve"> participated in stakeholder interviews. This consultation provided information necessary to complete sections of the Plan addressing business development and entrepreneurship as key components of an anti-poverty strategy.</w:t>
            </w:r>
          </w:p>
        </w:tc>
      </w:tr>
      <w:tr w:rsidR="00CD6A25">
        <w:trPr>
          <w:cantSplit/>
        </w:trPr>
        <w:tc>
          <w:tcPr>
            <w:tcW w:w="0" w:type="auto"/>
            <w:vMerge w:val="restart"/>
          </w:tcPr>
          <w:p w:rsidR="00CD6A25" w:rsidRDefault="00000000">
            <w:pPr>
              <w:keepNext/>
              <w:spacing w:before="100" w:after="0"/>
            </w:pPr>
            <w:r>
              <w:rPr>
                <w:color w:val="000000"/>
              </w:rPr>
              <w:t>21</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proofErr w:type="spellStart"/>
            <w:r>
              <w:rPr>
                <w:color w:val="000000"/>
              </w:rPr>
              <w:t>Homewise</w:t>
            </w:r>
            <w:proofErr w:type="spellEnd"/>
            <w:r>
              <w:rPr>
                <w:color w:val="000000"/>
              </w:rPr>
              <w:t>, Inc.</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Services-Education</w:t>
            </w:r>
            <w:r>
              <w:rPr>
                <w:color w:val="000000"/>
              </w:rPr>
              <w:br/>
              <w:t>Regional organization</w:t>
            </w:r>
            <w:r>
              <w:rPr>
                <w:color w:val="000000"/>
              </w:rPr>
              <w:br/>
              <w:t>Community Development Financial Institution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Housing Need Assessment</w:t>
            </w:r>
            <w:r>
              <w:rPr>
                <w:color w:val="000000"/>
              </w:rPr>
              <w:br/>
              <w:t>Market Analysis</w:t>
            </w:r>
            <w:r>
              <w:rPr>
                <w:color w:val="000000"/>
              </w:rPr>
              <w:br/>
              <w:t>Anti-poverty Strategy</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proofErr w:type="spellStart"/>
            <w:r>
              <w:rPr>
                <w:color w:val="000000"/>
              </w:rPr>
              <w:t>Homewise</w:t>
            </w:r>
            <w:proofErr w:type="spellEnd"/>
            <w:r>
              <w:rPr>
                <w:color w:val="000000"/>
              </w:rPr>
              <w:t xml:space="preserve">, Inc. participated in stakeholder interviews and focus group discussions This consultation provided information necessary to complete sections of the Plan addressing affordable home ownership, including education and support services for loan recipients, as part of an anti-poverty strategy. Consults with </w:t>
            </w:r>
            <w:proofErr w:type="spellStart"/>
            <w:r>
              <w:rPr>
                <w:color w:val="000000"/>
              </w:rPr>
              <w:t>Homewise</w:t>
            </w:r>
            <w:proofErr w:type="spellEnd"/>
            <w:r>
              <w:rPr>
                <w:color w:val="000000"/>
              </w:rPr>
              <w:t xml:space="preserve"> are done regularly regarding the current state of home sales and the housing market throughout the city.</w:t>
            </w:r>
          </w:p>
        </w:tc>
      </w:tr>
      <w:tr w:rsidR="00CD6A25">
        <w:trPr>
          <w:cantSplit/>
        </w:trPr>
        <w:tc>
          <w:tcPr>
            <w:tcW w:w="0" w:type="auto"/>
            <w:vMerge w:val="restart"/>
          </w:tcPr>
          <w:p w:rsidR="00CD6A25" w:rsidRDefault="00000000">
            <w:pPr>
              <w:keepNext/>
              <w:spacing w:before="100" w:after="0"/>
            </w:pPr>
            <w:r>
              <w:rPr>
                <w:color w:val="000000"/>
              </w:rPr>
              <w:t>22</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Albuquerque Area Agency on Aging, DFCS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Services-Elderly Persons</w:t>
            </w:r>
            <w:r>
              <w:rPr>
                <w:color w:val="000000"/>
              </w:rPr>
              <w:br/>
              <w:t>Services-Persons with Disabilities</w:t>
            </w:r>
            <w:r>
              <w:rPr>
                <w:color w:val="000000"/>
              </w:rPr>
              <w:br/>
              <w:t>Grantee Department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Housing Need Assessment</w:t>
            </w:r>
            <w:r>
              <w:rPr>
                <w:color w:val="000000"/>
              </w:rPr>
              <w:br/>
              <w:t>Public Housing Needs</w:t>
            </w:r>
            <w:r>
              <w:rPr>
                <w:color w:val="000000"/>
              </w:rPr>
              <w:br/>
              <w:t>Non-Homeless Special Needs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The City of Albuquerque's Area Agency on Aging participated in stakeholder interviews. This consultation provided information necessary to complete sections of the Plan addressing affordable housing for seniors, housing rehabilitation and accessibility, and public and supportive services for this vulnerable community.</w:t>
            </w:r>
          </w:p>
        </w:tc>
      </w:tr>
      <w:tr w:rsidR="00CD6A25">
        <w:trPr>
          <w:cantSplit/>
        </w:trPr>
        <w:tc>
          <w:tcPr>
            <w:tcW w:w="0" w:type="auto"/>
            <w:vMerge w:val="restart"/>
          </w:tcPr>
          <w:p w:rsidR="00CD6A25" w:rsidRDefault="00000000">
            <w:pPr>
              <w:keepNext/>
              <w:spacing w:before="100" w:after="0"/>
            </w:pPr>
            <w:r>
              <w:rPr>
                <w:color w:val="000000"/>
              </w:rPr>
              <w:lastRenderedPageBreak/>
              <w:t>23</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New Day Youth and Family Services (A New Day)</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Services-Children</w:t>
            </w:r>
            <w:r>
              <w:rPr>
                <w:color w:val="000000"/>
              </w:rPr>
              <w:br/>
              <w:t>Services-homeless</w:t>
            </w:r>
            <w:r>
              <w:rPr>
                <w:color w:val="000000"/>
              </w:rPr>
              <w:br/>
              <w:t>Services-Education</w:t>
            </w:r>
            <w:r>
              <w:rPr>
                <w:color w:val="000000"/>
              </w:rPr>
              <w:br/>
              <w:t>Child Welfare Agency</w:t>
            </w:r>
            <w:r>
              <w:rPr>
                <w:color w:val="000000"/>
              </w:rPr>
              <w:br/>
              <w:t>Regional organization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Homeless Needs - Families with children</w:t>
            </w:r>
            <w:r>
              <w:rPr>
                <w:color w:val="000000"/>
              </w:rPr>
              <w:br/>
              <w:t>Homelessness Needs - Unaccompanied youth</w:t>
            </w:r>
            <w:r>
              <w:rPr>
                <w:color w:val="000000"/>
              </w:rPr>
              <w:br/>
              <w:t>Homelessness Strategy</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New Day participated in stakeholder interviews and focus group discussions. This consultation provided information necessary to complete sections of the Plan addressing the need for emergency and transitional housing for vulnerable communities, as well as necessary support services to keep them permanently housed.</w:t>
            </w:r>
          </w:p>
        </w:tc>
      </w:tr>
      <w:tr w:rsidR="00CD6A25">
        <w:trPr>
          <w:cantSplit/>
        </w:trPr>
        <w:tc>
          <w:tcPr>
            <w:tcW w:w="0" w:type="auto"/>
            <w:vMerge w:val="restart"/>
          </w:tcPr>
          <w:p w:rsidR="00CD6A25" w:rsidRDefault="00000000">
            <w:pPr>
              <w:keepNext/>
              <w:spacing w:before="100" w:after="0"/>
            </w:pPr>
            <w:r>
              <w:rPr>
                <w:color w:val="000000"/>
              </w:rPr>
              <w:t>24</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Youth Development, Inc.</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Services-Children</w:t>
            </w:r>
            <w:r>
              <w:rPr>
                <w:color w:val="000000"/>
              </w:rPr>
              <w:br/>
              <w:t>Services-homeless</w:t>
            </w:r>
            <w:r>
              <w:rPr>
                <w:color w:val="000000"/>
              </w:rPr>
              <w:br/>
              <w:t>Services-Education</w:t>
            </w:r>
            <w:r>
              <w:rPr>
                <w:color w:val="000000"/>
              </w:rPr>
              <w:br/>
              <w:t>Regional organization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Homeless Needs - Families with children</w:t>
            </w:r>
            <w:r>
              <w:rPr>
                <w:color w:val="000000"/>
              </w:rPr>
              <w:br/>
              <w:t>Homelessness Needs - Unaccompanied youth</w:t>
            </w:r>
            <w:r>
              <w:rPr>
                <w:color w:val="000000"/>
              </w:rPr>
              <w:br/>
              <w:t>Homelessness Strategy</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Youth Development, Inc. participated in focus group discussions This consultation provided information necessary to complete sections of the Plan addressing the need for emergency and transitional housing for vulnerable communities, as well as necessary support services to keep them permanently housed.</w:t>
            </w:r>
          </w:p>
        </w:tc>
      </w:tr>
      <w:tr w:rsidR="00CD6A25">
        <w:trPr>
          <w:cantSplit/>
        </w:trPr>
        <w:tc>
          <w:tcPr>
            <w:tcW w:w="0" w:type="auto"/>
            <w:vMerge w:val="restart"/>
          </w:tcPr>
          <w:p w:rsidR="00CD6A25" w:rsidRDefault="00000000">
            <w:pPr>
              <w:keepNext/>
              <w:spacing w:before="100" w:after="0"/>
            </w:pPr>
            <w:r>
              <w:rPr>
                <w:color w:val="000000"/>
              </w:rPr>
              <w:t>25</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Tender Love Community Center</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Services-Victims of Domestic Violence</w:t>
            </w:r>
            <w:r>
              <w:rPr>
                <w:color w:val="000000"/>
              </w:rPr>
              <w:br/>
              <w:t>Services-Employment</w:t>
            </w:r>
            <w:r>
              <w:rPr>
                <w:color w:val="000000"/>
              </w:rPr>
              <w:br/>
              <w:t>Services - Victims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Non-Homeless Special Needs</w:t>
            </w:r>
            <w:r>
              <w:rPr>
                <w:color w:val="000000"/>
              </w:rPr>
              <w:br/>
              <w:t>Economic Development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Tender Love participated in a stakeholder interview. This consultation help inform the needs assessment, especially for persons experiencing domestic violence and human trafficking.</w:t>
            </w:r>
          </w:p>
        </w:tc>
      </w:tr>
      <w:tr w:rsidR="00CD6A25">
        <w:trPr>
          <w:cantSplit/>
        </w:trPr>
        <w:tc>
          <w:tcPr>
            <w:tcW w:w="0" w:type="auto"/>
            <w:vMerge w:val="restart"/>
          </w:tcPr>
          <w:p w:rsidR="00CD6A25" w:rsidRDefault="00000000">
            <w:pPr>
              <w:keepNext/>
              <w:spacing w:before="100" w:after="0"/>
            </w:pPr>
            <w:r>
              <w:rPr>
                <w:color w:val="000000"/>
              </w:rPr>
              <w:t>26</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Endorphin Power Co.</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Housing</w:t>
            </w:r>
            <w:r>
              <w:rPr>
                <w:color w:val="000000"/>
              </w:rPr>
              <w:br/>
              <w:t>Services - Housing</w:t>
            </w:r>
            <w:r>
              <w:rPr>
                <w:color w:val="000000"/>
              </w:rPr>
              <w:br/>
              <w:t>Services-homeless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Housing Need Assessment</w:t>
            </w:r>
            <w:r>
              <w:rPr>
                <w:color w:val="000000"/>
              </w:rPr>
              <w:br/>
              <w:t>Homeless Needs - Chronically homeless</w:t>
            </w:r>
            <w:r>
              <w:rPr>
                <w:color w:val="000000"/>
              </w:rPr>
              <w:br/>
              <w:t>Homelessness Strategy</w:t>
            </w:r>
            <w:r>
              <w:rPr>
                <w:color w:val="000000"/>
              </w:rPr>
              <w:br/>
              <w:t>Non-Homeless Special Needs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Endorphin Power Co. Participated in focus group discussions. This consultation helped inform the needs assessment and housing market analysis, especially for transitional housing and special population persons with substance use challenges.</w:t>
            </w:r>
          </w:p>
        </w:tc>
      </w:tr>
      <w:tr w:rsidR="00CD6A25">
        <w:trPr>
          <w:cantSplit/>
        </w:trPr>
        <w:tc>
          <w:tcPr>
            <w:tcW w:w="0" w:type="auto"/>
            <w:vMerge w:val="restart"/>
          </w:tcPr>
          <w:p w:rsidR="00CD6A25" w:rsidRDefault="00000000">
            <w:pPr>
              <w:keepNext/>
              <w:spacing w:before="100" w:after="0"/>
            </w:pPr>
            <w:r>
              <w:rPr>
                <w:color w:val="000000"/>
              </w:rPr>
              <w:t>27</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Crossroads for Women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Services - Victims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Housing Need Assessment</w:t>
            </w:r>
            <w:r>
              <w:rPr>
                <w:color w:val="000000"/>
              </w:rPr>
              <w:b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t>Non-Homeless Special Needs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Crossroads for Women participated in stakeholder interviews. This consultation help inform the needs assessment narrative.</w:t>
            </w:r>
          </w:p>
        </w:tc>
      </w:tr>
      <w:tr w:rsidR="00CD6A25">
        <w:trPr>
          <w:cantSplit/>
        </w:trPr>
        <w:tc>
          <w:tcPr>
            <w:tcW w:w="0" w:type="auto"/>
            <w:vMerge w:val="restart"/>
          </w:tcPr>
          <w:p w:rsidR="00CD6A25" w:rsidRDefault="00000000">
            <w:pPr>
              <w:keepNext/>
              <w:spacing w:before="100" w:after="0"/>
            </w:pPr>
            <w:r>
              <w:rPr>
                <w:color w:val="000000"/>
              </w:rPr>
              <w:t>28</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Division of Child and Family Development Services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Services-Children</w:t>
            </w:r>
            <w:r>
              <w:rPr>
                <w:color w:val="000000"/>
              </w:rPr>
              <w:br/>
              <w:t>Services-Education</w:t>
            </w:r>
            <w:r>
              <w:rPr>
                <w:color w:val="000000"/>
              </w:rPr>
              <w:br/>
              <w:t>Grantee Department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Homeless Needs - Families with children</w:t>
            </w:r>
            <w:r>
              <w:rPr>
                <w:color w:val="000000"/>
              </w:rPr>
              <w:br/>
              <w:t>Homelessness Needs - Unaccompanied youth</w:t>
            </w:r>
            <w:r>
              <w:rPr>
                <w:color w:val="000000"/>
              </w:rPr>
              <w:br/>
              <w:t>Homelessness Strategy</w:t>
            </w:r>
            <w:r>
              <w:rPr>
                <w:color w:val="000000"/>
              </w:rPr>
              <w:br/>
              <w:t>Anti-poverty Strategy</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The City's Division of Child and Family Development participated in stakeholder interviews, focus groups, and public hearings. This consultation provided information necessary to complete sections of the Plan addressing homelessness, and various early childhood interventions as part of a strategy to increase opportunity and combat poverty among families with children.</w:t>
            </w:r>
          </w:p>
        </w:tc>
      </w:tr>
      <w:tr w:rsidR="00CD6A25">
        <w:trPr>
          <w:cantSplit/>
        </w:trPr>
        <w:tc>
          <w:tcPr>
            <w:tcW w:w="0" w:type="auto"/>
            <w:vMerge w:val="restart"/>
          </w:tcPr>
          <w:p w:rsidR="00CD6A25" w:rsidRDefault="00000000">
            <w:pPr>
              <w:keepNext/>
              <w:spacing w:before="100" w:after="0"/>
            </w:pPr>
            <w:r>
              <w:rPr>
                <w:color w:val="000000"/>
              </w:rPr>
              <w:t>29</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HUD Office of Fair Housing and Equal Opportunity</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Other government - Federal</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Housing Need Assessment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HUD FHEO provided data on fair housing violations for the city of Albuquerque. This consultation provided data for the Assessment of Fair Housing and part of the Consolidated Plan.</w:t>
            </w:r>
          </w:p>
        </w:tc>
      </w:tr>
      <w:tr w:rsidR="00CD6A25">
        <w:trPr>
          <w:cantSplit/>
        </w:trPr>
        <w:tc>
          <w:tcPr>
            <w:tcW w:w="0" w:type="auto"/>
            <w:vMerge w:val="restart"/>
          </w:tcPr>
          <w:p w:rsidR="00CD6A25" w:rsidRDefault="00000000">
            <w:pPr>
              <w:keepNext/>
              <w:spacing w:before="100" w:after="0"/>
            </w:pPr>
            <w:r>
              <w:rPr>
                <w:color w:val="000000"/>
              </w:rPr>
              <w:t>30</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Federal Communications Commission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Other government - Federal</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Market Analysis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Information from the Federal Communications Commission was used to address HUD's requirement to discuss broadband access and "the digital divide".</w:t>
            </w:r>
          </w:p>
        </w:tc>
      </w:tr>
      <w:tr w:rsidR="00CD6A25">
        <w:trPr>
          <w:cantSplit/>
        </w:trPr>
        <w:tc>
          <w:tcPr>
            <w:tcW w:w="0" w:type="auto"/>
            <w:vMerge w:val="restart"/>
          </w:tcPr>
          <w:p w:rsidR="00CD6A25" w:rsidRDefault="00000000">
            <w:pPr>
              <w:keepNext/>
              <w:spacing w:before="100" w:after="0"/>
            </w:pPr>
            <w:r>
              <w:rPr>
                <w:color w:val="000000"/>
              </w:rPr>
              <w:t>31</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Family Housing Development Corporation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Housing</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Affordable Housing Development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1:1 consultation with Family Housing Development Corporation (FHDC) and its partner for infrastructure development at the Uptown Connect Affordable Housing Development.</w:t>
            </w:r>
          </w:p>
        </w:tc>
      </w:tr>
      <w:tr w:rsidR="00CD6A25">
        <w:trPr>
          <w:cantSplit/>
        </w:trPr>
        <w:tc>
          <w:tcPr>
            <w:tcW w:w="0" w:type="auto"/>
            <w:vMerge w:val="restart"/>
          </w:tcPr>
          <w:p w:rsidR="00CD6A25" w:rsidRDefault="00000000">
            <w:pPr>
              <w:keepNext/>
              <w:spacing w:before="100" w:after="0"/>
            </w:pPr>
            <w:r>
              <w:rPr>
                <w:color w:val="000000"/>
              </w:rPr>
              <w:t>32</w:t>
            </w:r>
          </w:p>
        </w:tc>
        <w:tc>
          <w:tcPr>
            <w:tcW w:w="0" w:type="auto"/>
          </w:tcPr>
          <w:p w:rsidR="00CD6A25" w:rsidRDefault="00000000">
            <w:pPr>
              <w:keepNext/>
              <w:spacing w:before="100" w:after="0"/>
              <w:rPr>
                <w:b/>
              </w:rPr>
            </w:pPr>
            <w:r>
              <w:rPr>
                <w:b/>
              </w:rPr>
              <w:t>Agency/Group/Organization</w:t>
            </w:r>
          </w:p>
        </w:tc>
        <w:tc>
          <w:tcPr>
            <w:tcW w:w="0" w:type="auto"/>
          </w:tcPr>
          <w:p w:rsidR="00CD6A25" w:rsidRDefault="00000000">
            <w:pPr>
              <w:spacing w:before="100" w:after="0"/>
            </w:pPr>
            <w:r>
              <w:rPr>
                <w:color w:val="000000"/>
              </w:rPr>
              <w:t>La Vida Nueva Housing</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Agency/Group/Organization Type</w:t>
            </w:r>
          </w:p>
        </w:tc>
        <w:tc>
          <w:tcPr>
            <w:tcW w:w="0" w:type="auto"/>
          </w:tcPr>
          <w:p w:rsidR="00CD6A25" w:rsidRDefault="00000000">
            <w:pPr>
              <w:spacing w:before="100" w:after="0"/>
            </w:pPr>
            <w:r>
              <w:rPr>
                <w:color w:val="000000"/>
              </w:rPr>
              <w:t>Housing</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What section of the Plan was addressed by Consultation?</w:t>
            </w:r>
          </w:p>
        </w:tc>
        <w:tc>
          <w:tcPr>
            <w:tcW w:w="0" w:type="auto"/>
          </w:tcPr>
          <w:p w:rsidR="00CD6A25" w:rsidRDefault="00000000">
            <w:pPr>
              <w:spacing w:before="100" w:after="0"/>
            </w:pPr>
            <w:r>
              <w:rPr>
                <w:color w:val="000000"/>
              </w:rPr>
              <w:t>Affordable Housing Preservation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CD6A25" w:rsidRDefault="00000000">
            <w:pPr>
              <w:spacing w:before="100" w:after="0"/>
            </w:pPr>
            <w:r>
              <w:rPr>
                <w:color w:val="000000"/>
              </w:rPr>
              <w:t>1:1 consultation La Vida Nueva Housing for preservation of the affordable housing development. The development contains 316 units that would benefit from updates/upgrades to security on the property.</w:t>
            </w:r>
          </w:p>
        </w:tc>
      </w:tr>
    </w:tbl>
    <w:p w:rsidR="00CD6A25" w:rsidRDefault="00CD6A25"/>
    <w:p w:rsidR="00CD6A25" w:rsidRDefault="00000000">
      <w:pPr>
        <w:rPr>
          <w:b/>
          <w:sz w:val="24"/>
          <w:szCs w:val="24"/>
        </w:rPr>
      </w:pPr>
      <w:r>
        <w:rPr>
          <w:b/>
          <w:sz w:val="24"/>
          <w:szCs w:val="24"/>
        </w:rPr>
        <w:t>Identify any Agency Types not consulted and provide rationale for not consulting</w:t>
      </w:r>
    </w:p>
    <w:p w:rsidR="00CD6A25" w:rsidRDefault="00000000">
      <w:pPr>
        <w:spacing w:beforeAutospacing="1" w:afterAutospacing="1"/>
        <w:rPr>
          <w:rFonts w:cs="Arial"/>
        </w:rPr>
      </w:pPr>
      <w:r>
        <w:rPr>
          <w:rFonts w:cs="Arial"/>
        </w:rPr>
        <w:t xml:space="preserve">The </w:t>
      </w:r>
      <w:proofErr w:type="gramStart"/>
      <w:r>
        <w:rPr>
          <w:rFonts w:cs="Arial"/>
        </w:rPr>
        <w:t>City</w:t>
      </w:r>
      <w:proofErr w:type="gramEnd"/>
      <w:r>
        <w:rPr>
          <w:rFonts w:cs="Arial"/>
        </w:rPr>
        <w:t xml:space="preserve"> did not consult with other local governments, or participating jurisdictions, which work with similar grants. This was not done because Albuquerque, being the largest City in New Mexico, has very different issues and programs that are not directly comparable to other cities in the state.</w:t>
      </w:r>
    </w:p>
    <w:p w:rsidR="00CD6A25" w:rsidRDefault="00CD6A25">
      <w:pPr>
        <w:rPr>
          <w:rFonts w:cs="Arial"/>
        </w:rPr>
      </w:pPr>
    </w:p>
    <w:p w:rsidR="00CD6A25" w:rsidRDefault="00000000">
      <w:pPr>
        <w:keepNext/>
        <w:rPr>
          <w:b/>
          <w:sz w:val="24"/>
          <w:szCs w:val="24"/>
        </w:rPr>
      </w:pPr>
      <w:r>
        <w:rPr>
          <w:b/>
          <w:sz w:val="24"/>
          <w:szCs w:val="24"/>
        </w:rPr>
        <w:lastRenderedPageBreak/>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2520"/>
        <w:gridCol w:w="8700"/>
      </w:tblGrid>
      <w:tr w:rsidR="00CD6A25">
        <w:trPr>
          <w:cantSplit/>
          <w:tblHeader/>
        </w:trPr>
        <w:tc>
          <w:tcPr>
            <w:tcW w:w="3192" w:type="dxa"/>
          </w:tcPr>
          <w:p w:rsidR="00CD6A25" w:rsidRDefault="00000000">
            <w:pPr>
              <w:keepNext/>
              <w:widowControl w:val="0"/>
              <w:spacing w:after="0" w:line="240" w:lineRule="auto"/>
              <w:jc w:val="center"/>
              <w:rPr>
                <w:b/>
                <w:bCs/>
              </w:rPr>
            </w:pPr>
            <w:r>
              <w:rPr>
                <w:b/>
                <w:bCs/>
              </w:rPr>
              <w:t>Name of Plan</w:t>
            </w:r>
          </w:p>
        </w:tc>
        <w:tc>
          <w:tcPr>
            <w:tcW w:w="3192" w:type="dxa"/>
          </w:tcPr>
          <w:p w:rsidR="00CD6A25" w:rsidRDefault="00000000">
            <w:pPr>
              <w:spacing w:after="0" w:line="240" w:lineRule="auto"/>
              <w:jc w:val="center"/>
              <w:rPr>
                <w:b/>
                <w:bCs/>
              </w:rPr>
            </w:pPr>
            <w:r>
              <w:rPr>
                <w:b/>
                <w:bCs/>
              </w:rPr>
              <w:t>Lead Organization</w:t>
            </w:r>
          </w:p>
        </w:tc>
        <w:tc>
          <w:tcPr>
            <w:tcW w:w="3192" w:type="dxa"/>
          </w:tcPr>
          <w:p w:rsidR="00CD6A25" w:rsidRDefault="00000000">
            <w:pPr>
              <w:keepNext/>
              <w:widowControl w:val="0"/>
              <w:spacing w:after="0" w:line="240" w:lineRule="auto"/>
              <w:jc w:val="center"/>
              <w:rPr>
                <w:b/>
                <w:bCs/>
              </w:rPr>
            </w:pPr>
            <w:r>
              <w:rPr>
                <w:b/>
                <w:bCs/>
              </w:rPr>
              <w:t>How do the goals of your Strategic Plan overlap with the goals of each plan?</w:t>
            </w:r>
          </w:p>
        </w:tc>
      </w:tr>
      <w:tr w:rsidR="00CD6A25">
        <w:trPr>
          <w:cantSplit/>
        </w:trPr>
        <w:tc>
          <w:tcPr>
            <w:tcW w:w="0" w:type="auto"/>
            <w:vAlign w:val="center"/>
          </w:tcPr>
          <w:p w:rsidR="00CD6A25" w:rsidRDefault="00000000">
            <w:pPr>
              <w:spacing w:beforeAutospacing="1" w:afterAutospacing="1"/>
            </w:pPr>
            <w:r>
              <w:rPr>
                <w:color w:val="000000"/>
              </w:rPr>
              <w:t>Continuum of Care</w:t>
            </w:r>
          </w:p>
        </w:tc>
        <w:tc>
          <w:tcPr>
            <w:tcW w:w="0" w:type="auto"/>
            <w:vAlign w:val="center"/>
          </w:tcPr>
          <w:p w:rsidR="00CD6A25" w:rsidRDefault="00000000">
            <w:pPr>
              <w:spacing w:beforeAutospacing="1" w:afterAutospacing="1"/>
            </w:pPr>
            <w:r>
              <w:rPr>
                <w:color w:val="000000"/>
              </w:rPr>
              <w:t>New Mexico Coalition to End Homelessness</w:t>
            </w:r>
          </w:p>
        </w:tc>
        <w:tc>
          <w:tcPr>
            <w:tcW w:w="0" w:type="auto"/>
            <w:vAlign w:val="center"/>
          </w:tcPr>
          <w:p w:rsidR="00CD6A25" w:rsidRDefault="00000000">
            <w:pPr>
              <w:spacing w:beforeAutospacing="1" w:afterAutospacing="1"/>
            </w:pPr>
            <w:r>
              <w:rPr>
                <w:color w:val="000000"/>
              </w:rPr>
              <w:t>New Mexico Coalition to End Homelessness (NMCEH) serves as the Continuum of Care organization for Albuquerque. It is also the lead agency for the Homeless Management Information System (HMIS). NMCEH also manages the ABQ Coordinated Entry System that serves individuals and families experiencing homelessness. Both NMCEH and the COA have the same mission of homeless prevention and eliminating homelessness.</w:t>
            </w:r>
          </w:p>
        </w:tc>
      </w:tr>
      <w:tr w:rsidR="00CD6A25">
        <w:trPr>
          <w:cantSplit/>
        </w:trPr>
        <w:tc>
          <w:tcPr>
            <w:tcW w:w="0" w:type="auto"/>
            <w:vAlign w:val="center"/>
          </w:tcPr>
          <w:p w:rsidR="00CD6A25" w:rsidRDefault="00000000">
            <w:pPr>
              <w:spacing w:beforeAutospacing="1" w:afterAutospacing="1"/>
            </w:pPr>
            <w:r>
              <w:rPr>
                <w:color w:val="000000"/>
              </w:rPr>
              <w:t>ABQ the Plan</w:t>
            </w:r>
          </w:p>
        </w:tc>
        <w:tc>
          <w:tcPr>
            <w:tcW w:w="0" w:type="auto"/>
            <w:vAlign w:val="center"/>
          </w:tcPr>
          <w:p w:rsidR="00CD6A25" w:rsidRDefault="00000000">
            <w:pPr>
              <w:spacing w:beforeAutospacing="1" w:afterAutospacing="1"/>
            </w:pPr>
            <w:r>
              <w:rPr>
                <w:color w:val="000000"/>
              </w:rPr>
              <w:t>Urban Design and Development Division, Planning Department</w:t>
            </w:r>
          </w:p>
        </w:tc>
        <w:tc>
          <w:tcPr>
            <w:tcW w:w="0" w:type="auto"/>
            <w:vAlign w:val="center"/>
          </w:tcPr>
          <w:p w:rsidR="00CD6A25" w:rsidRDefault="00000000">
            <w:pPr>
              <w:spacing w:beforeAutospacing="1" w:afterAutospacing="1"/>
            </w:pPr>
            <w:r>
              <w:rPr>
                <w:color w:val="000000"/>
              </w:rPr>
              <w:t xml:space="preserve">ABQ the Plan outlines housing, urban planning, and economic development goals for the </w:t>
            </w:r>
            <w:proofErr w:type="gramStart"/>
            <w:r>
              <w:rPr>
                <w:color w:val="000000"/>
              </w:rPr>
              <w:t>City</w:t>
            </w:r>
            <w:proofErr w:type="gramEnd"/>
            <w:r>
              <w:rPr>
                <w:color w:val="000000"/>
              </w:rPr>
              <w:t>. The Plan outlines the need for affordable housing throughout Albuquerque.</w:t>
            </w:r>
          </w:p>
        </w:tc>
      </w:tr>
      <w:tr w:rsidR="00CD6A25">
        <w:trPr>
          <w:cantSplit/>
        </w:trPr>
        <w:tc>
          <w:tcPr>
            <w:tcW w:w="0" w:type="auto"/>
            <w:vAlign w:val="center"/>
          </w:tcPr>
          <w:p w:rsidR="00CD6A25" w:rsidRDefault="00000000">
            <w:pPr>
              <w:spacing w:beforeAutospacing="1" w:afterAutospacing="1"/>
            </w:pPr>
            <w:r>
              <w:rPr>
                <w:color w:val="000000"/>
              </w:rPr>
              <w:t>Assessment of Fair Housing</w:t>
            </w:r>
          </w:p>
        </w:tc>
        <w:tc>
          <w:tcPr>
            <w:tcW w:w="0" w:type="auto"/>
            <w:vAlign w:val="center"/>
          </w:tcPr>
          <w:p w:rsidR="00CD6A25" w:rsidRDefault="00000000">
            <w:pPr>
              <w:spacing w:beforeAutospacing="1" w:afterAutospacing="1"/>
            </w:pPr>
            <w:r>
              <w:rPr>
                <w:color w:val="000000"/>
              </w:rPr>
              <w:t>City of Albuquerque</w:t>
            </w:r>
          </w:p>
        </w:tc>
        <w:tc>
          <w:tcPr>
            <w:tcW w:w="0" w:type="auto"/>
            <w:vAlign w:val="center"/>
          </w:tcPr>
          <w:p w:rsidR="00CD6A25" w:rsidRDefault="00000000">
            <w:pPr>
              <w:spacing w:beforeAutospacing="1" w:afterAutospacing="1"/>
            </w:pPr>
            <w:r>
              <w:rPr>
                <w:color w:val="000000"/>
              </w:rPr>
              <w:t>As part of this Consolidated Plan, the City of Albuquerque developed the Assessment of Fair Housing (AFH). Contributing Factors identified in the AFH for Albuquerque are incorporated into the Consolidated Plan's Strategic Plan.</w:t>
            </w:r>
          </w:p>
        </w:tc>
      </w:tr>
    </w:tbl>
    <w:p w:rsidR="00CD6A25" w:rsidRDefault="0000000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Other local / regional / federal planning efforts</w:t>
      </w:r>
    </w:p>
    <w:p w:rsidR="00CD6A25" w:rsidRDefault="00CD6A25"/>
    <w:p w:rsidR="00CD6A25" w:rsidRDefault="00000000">
      <w:pPr>
        <w:rPr>
          <w:b/>
          <w:sz w:val="24"/>
          <w:szCs w:val="24"/>
        </w:rPr>
      </w:pPr>
      <w:r>
        <w:rPr>
          <w:b/>
          <w:sz w:val="24"/>
          <w:szCs w:val="24"/>
        </w:rPr>
        <w:t>Narrative (optional)</w:t>
      </w:r>
    </w:p>
    <w:p w:rsidR="00CD6A25" w:rsidRDefault="00CD6A25">
      <w:pPr>
        <w:rPr>
          <w:rFonts w:cs="Arial"/>
        </w:rPr>
      </w:pPr>
    </w:p>
    <w:p w:rsidR="00CD6A25" w:rsidRDefault="00CD6A25">
      <w:pPr>
        <w:rPr>
          <w:rFonts w:cs="Arial"/>
        </w:rPr>
        <w:sectPr w:rsidR="00CD6A25">
          <w:pgSz w:w="15840" w:h="12240" w:orient="landscape"/>
          <w:pgMar w:top="1440" w:right="1440" w:bottom="1440" w:left="1440" w:header="720" w:footer="720" w:gutter="0"/>
          <w:cols w:space="720"/>
          <w:docGrid w:linePitch="360"/>
        </w:sectPr>
      </w:pPr>
    </w:p>
    <w:p w:rsidR="00CD6A25" w:rsidRDefault="00000000">
      <w:pPr>
        <w:pStyle w:val="Heading2"/>
        <w:keepNext w:val="0"/>
        <w:pageBreakBefore/>
        <w:widowControl w:val="0"/>
        <w:rPr>
          <w:rFonts w:ascii="Calibri" w:hAnsi="Calibri"/>
          <w:i w:val="0"/>
        </w:rPr>
      </w:pPr>
      <w:r>
        <w:rPr>
          <w:rFonts w:ascii="Calibri" w:hAnsi="Calibri"/>
          <w:i w:val="0"/>
        </w:rPr>
        <w:lastRenderedPageBreak/>
        <w:t>AP-12 Participation – 91.105, 91.200(c)</w:t>
      </w:r>
    </w:p>
    <w:p w:rsidR="00CD6A25" w:rsidRDefault="00000000">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rsidR="00CD6A25" w:rsidRDefault="00000000">
      <w:pPr>
        <w:spacing w:after="0" w:line="240" w:lineRule="auto"/>
        <w:rPr>
          <w:b/>
          <w:sz w:val="24"/>
          <w:szCs w:val="24"/>
        </w:rPr>
      </w:pPr>
      <w:r>
        <w:rPr>
          <w:b/>
          <w:sz w:val="24"/>
          <w:szCs w:val="24"/>
        </w:rPr>
        <w:t>Summarize citizen participation process and how it impacted goal-setting</w:t>
      </w:r>
    </w:p>
    <w:p w:rsidR="00CD6A25" w:rsidRDefault="00CD6A25">
      <w:pPr>
        <w:spacing w:after="0" w:line="240" w:lineRule="auto"/>
        <w:rPr>
          <w:b/>
          <w:sz w:val="24"/>
          <w:szCs w:val="24"/>
        </w:rPr>
      </w:pPr>
    </w:p>
    <w:p w:rsidR="00CD6A25" w:rsidRDefault="00000000">
      <w:pPr>
        <w:spacing w:beforeAutospacing="1" w:afterAutospacing="1"/>
        <w:rPr>
          <w:rFonts w:cs="Arial"/>
        </w:rPr>
      </w:pPr>
      <w:r>
        <w:rPr>
          <w:rFonts w:cs="Arial"/>
        </w:rPr>
        <w:t>The citizen participation process informed the development of priority needs identified in the Consolidated Plan and added context to the goal-setting process by visioning the types of programs and projects where CDBG, HOME, and ESG investments have the potential to improve neighborhood conditions and increase access to opportunity for all residents. In accordance with the City's adopted Citizen Participation Plan, all public notices for community meetings and public hearings were published in the Albuquerque Journal, a medium of general circulation in the city, as well as on the City's website and social media accounts.</w:t>
      </w:r>
    </w:p>
    <w:p w:rsidR="00CD6A25" w:rsidRDefault="00000000">
      <w:pPr>
        <w:spacing w:beforeAutospacing="1" w:afterAutospacing="1"/>
        <w:rPr>
          <w:rFonts w:cs="Arial"/>
        </w:rPr>
      </w:pPr>
      <w:r>
        <w:rPr>
          <w:rFonts w:cs="Arial"/>
        </w:rPr>
        <w:t xml:space="preserve">The 2025 Action Plan was presented to the public on January 22, 2025 at 5:30 pm in-person and virtually via Zoom. The in-person Public Hearing was at the Los </w:t>
      </w:r>
      <w:proofErr w:type="spellStart"/>
      <w:r>
        <w:rPr>
          <w:rFonts w:cs="Arial"/>
        </w:rPr>
        <w:t>Griegos</w:t>
      </w:r>
      <w:proofErr w:type="spellEnd"/>
      <w:r>
        <w:rPr>
          <w:rFonts w:cs="Arial"/>
        </w:rPr>
        <w:t xml:space="preserve"> Health &amp; Social Services Center. The Public Hearing marked the beginning of the 30-day comment period which ran through February 21, 2025. The details, time, and purpose of the public hearing were posted in the Albuquerque Journal on January 7, 2025, in both English and Spanish, two weeks prior to the hearing. The legal ad informed the public that if there were any increases or decreases to the final funding allocation from HUD, these amounts would be distributed based upon need and any remaining balance would be proportionally distributed amongst projects. The Notice (both English and Spanish) with all of this information was posted at City Community Centers, City Health &amp; Social Service Centers, City Senior Centers, Albuquerque Housing Authority, the City website and social media pages. An email with the Notice was sent out to current and past subrecipients and contractors, which includes social service agencies and housing developers. The City's Office of Neighborhood Coordination also sent out the Notice to its email listserv in its weekly </w:t>
      </w:r>
      <w:proofErr w:type="spellStart"/>
      <w:r>
        <w:rPr>
          <w:rFonts w:cs="Arial"/>
        </w:rPr>
        <w:t>ENews</w:t>
      </w:r>
      <w:proofErr w:type="spellEnd"/>
      <w:r>
        <w:rPr>
          <w:rFonts w:cs="Arial"/>
        </w:rPr>
        <w:t xml:space="preserve">. The Action Plan PowerPoint presentation along with the draft Action Plan were posted on the </w:t>
      </w:r>
      <w:proofErr w:type="gramStart"/>
      <w:r>
        <w:rPr>
          <w:rFonts w:cs="Arial"/>
        </w:rPr>
        <w:t>City</w:t>
      </w:r>
      <w:proofErr w:type="gramEnd"/>
      <w:r>
        <w:rPr>
          <w:rFonts w:cs="Arial"/>
        </w:rPr>
        <w:t xml:space="preserve"> website on January 23, 2025, following the Public Hearing.</w:t>
      </w:r>
    </w:p>
    <w:p w:rsidR="00CD6A25" w:rsidRDefault="00000000">
      <w:pPr>
        <w:spacing w:beforeAutospacing="1" w:afterAutospacing="1"/>
        <w:rPr>
          <w:rFonts w:cs="Arial"/>
        </w:rPr>
      </w:pPr>
      <w:r>
        <w:rPr>
          <w:rFonts w:cs="Arial"/>
        </w:rPr>
        <w:t xml:space="preserve">In addition, an Informational Meeting was held virtually to obtain additional community participation and input in the 2025 Action Plan process. Notice of the meeting was posted on the </w:t>
      </w:r>
      <w:proofErr w:type="gramStart"/>
      <w:r>
        <w:rPr>
          <w:rFonts w:cs="Arial"/>
        </w:rPr>
        <w:t>City</w:t>
      </w:r>
      <w:proofErr w:type="gramEnd"/>
      <w:r>
        <w:rPr>
          <w:rFonts w:cs="Arial"/>
        </w:rPr>
        <w:t xml:space="preserve"> website and electronic boards throughout City Hall, as well as being sent to the Department's email list serv.</w:t>
      </w:r>
    </w:p>
    <w:p w:rsidR="00CD6A25" w:rsidRDefault="00CD6A25">
      <w:pPr>
        <w:rPr>
          <w:rFonts w:cs="Arial"/>
        </w:rPr>
      </w:pPr>
    </w:p>
    <w:p w:rsidR="00CD6A25" w:rsidRDefault="00000000">
      <w:pPr>
        <w:keepNext/>
        <w:rPr>
          <w:b/>
          <w:sz w:val="24"/>
          <w:szCs w:val="24"/>
        </w:rPr>
      </w:pPr>
      <w:r>
        <w:rPr>
          <w:b/>
          <w:sz w:val="24"/>
          <w:szCs w:val="24"/>
        </w:rPr>
        <w:lastRenderedPageBreak/>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006"/>
        <w:gridCol w:w="1585"/>
        <w:gridCol w:w="1624"/>
        <w:gridCol w:w="1815"/>
        <w:gridCol w:w="1676"/>
        <w:gridCol w:w="1942"/>
        <w:gridCol w:w="3302"/>
      </w:tblGrid>
      <w:tr w:rsidR="00CD6A25">
        <w:trPr>
          <w:cantSplit/>
          <w:tblHeader/>
        </w:trPr>
        <w:tc>
          <w:tcPr>
            <w:tcW w:w="540" w:type="pct"/>
            <w:tcBorders>
              <w:top w:val="single" w:sz="4" w:space="0" w:color="auto"/>
              <w:left w:val="single" w:sz="4" w:space="0" w:color="auto"/>
              <w:bottom w:val="single" w:sz="4" w:space="0" w:color="auto"/>
              <w:right w:val="single" w:sz="4" w:space="0" w:color="auto"/>
            </w:tcBorders>
            <w:hideMark/>
          </w:tcPr>
          <w:p w:rsidR="00CD6A25" w:rsidRDefault="00000000">
            <w:pPr>
              <w:keepNext/>
              <w:spacing w:after="0" w:line="240" w:lineRule="auto"/>
              <w:jc w:val="center"/>
              <w:rPr>
                <w:b/>
                <w:bCs/>
              </w:rPr>
            </w:pPr>
            <w:r>
              <w:rPr>
                <w:b/>
                <w:bCs/>
              </w:rPr>
              <w:t>Sort Order</w:t>
            </w:r>
          </w:p>
        </w:tc>
        <w:tc>
          <w:tcPr>
            <w:tcW w:w="540" w:type="pct"/>
            <w:tcBorders>
              <w:top w:val="single" w:sz="4" w:space="0" w:color="auto"/>
              <w:left w:val="single" w:sz="4" w:space="0" w:color="auto"/>
              <w:bottom w:val="single" w:sz="4" w:space="0" w:color="auto"/>
              <w:right w:val="single" w:sz="4" w:space="0" w:color="auto"/>
            </w:tcBorders>
            <w:hideMark/>
          </w:tcPr>
          <w:p w:rsidR="00CD6A25" w:rsidRDefault="00000000">
            <w:pPr>
              <w:keepNext/>
              <w:spacing w:after="0" w:line="240" w:lineRule="auto"/>
              <w:jc w:val="center"/>
              <w:rPr>
                <w:b/>
              </w:rPr>
            </w:pPr>
            <w:r>
              <w:rPr>
                <w:b/>
                <w:bCs/>
              </w:rPr>
              <w:t>Mode of Outreach</w:t>
            </w:r>
          </w:p>
        </w:tc>
        <w:tc>
          <w:tcPr>
            <w:tcW w:w="783" w:type="pct"/>
            <w:tcBorders>
              <w:top w:val="single" w:sz="4" w:space="0" w:color="auto"/>
              <w:left w:val="single" w:sz="4" w:space="0" w:color="auto"/>
              <w:bottom w:val="single" w:sz="4" w:space="0" w:color="auto"/>
              <w:right w:val="single" w:sz="4" w:space="0" w:color="auto"/>
            </w:tcBorders>
            <w:hideMark/>
          </w:tcPr>
          <w:p w:rsidR="00CD6A25" w:rsidRDefault="00000000">
            <w:pPr>
              <w:keepNext/>
              <w:spacing w:after="0" w:line="240" w:lineRule="auto"/>
              <w:jc w:val="center"/>
              <w:rPr>
                <w:b/>
              </w:rPr>
            </w:pPr>
            <w:r>
              <w:rPr>
                <w:b/>
                <w:bCs/>
              </w:rPr>
              <w:t>Target of Outreach</w:t>
            </w:r>
          </w:p>
        </w:tc>
        <w:tc>
          <w:tcPr>
            <w:tcW w:w="831" w:type="pct"/>
            <w:tcBorders>
              <w:top w:val="single" w:sz="4" w:space="0" w:color="auto"/>
              <w:left w:val="single" w:sz="4" w:space="0" w:color="auto"/>
              <w:bottom w:val="single" w:sz="4" w:space="0" w:color="auto"/>
              <w:right w:val="single" w:sz="4" w:space="0" w:color="auto"/>
            </w:tcBorders>
            <w:hideMark/>
          </w:tcPr>
          <w:p w:rsidR="00CD6A25" w:rsidRDefault="00000000">
            <w:pPr>
              <w:keepNext/>
              <w:spacing w:after="0" w:line="240" w:lineRule="auto"/>
              <w:jc w:val="center"/>
              <w:rPr>
                <w:b/>
                <w:bCs/>
              </w:rPr>
            </w:pPr>
            <w:r>
              <w:rPr>
                <w:b/>
                <w:bCs/>
              </w:rPr>
              <w:t>Summary of </w:t>
            </w:r>
          </w:p>
          <w:p w:rsidR="00CD6A25" w:rsidRDefault="00000000">
            <w:pPr>
              <w:keepNext/>
              <w:spacing w:after="0" w:line="240" w:lineRule="auto"/>
              <w:jc w:val="center"/>
              <w:rPr>
                <w:b/>
              </w:rPr>
            </w:pPr>
            <w:r>
              <w:rPr>
                <w:b/>
                <w:bCs/>
              </w:rPr>
              <w:t>response/attendance</w:t>
            </w:r>
          </w:p>
        </w:tc>
        <w:tc>
          <w:tcPr>
            <w:tcW w:w="783" w:type="pct"/>
            <w:tcBorders>
              <w:top w:val="single" w:sz="4" w:space="0" w:color="auto"/>
              <w:left w:val="single" w:sz="4" w:space="0" w:color="auto"/>
              <w:bottom w:val="single" w:sz="4" w:space="0" w:color="auto"/>
              <w:right w:val="single" w:sz="4" w:space="0" w:color="auto"/>
            </w:tcBorders>
            <w:hideMark/>
          </w:tcPr>
          <w:p w:rsidR="00CD6A25" w:rsidRDefault="00000000">
            <w:pPr>
              <w:keepNext/>
              <w:spacing w:after="0" w:line="240" w:lineRule="auto"/>
              <w:jc w:val="center"/>
              <w:rPr>
                <w:b/>
                <w:bCs/>
              </w:rPr>
            </w:pPr>
            <w:r>
              <w:rPr>
                <w:b/>
                <w:bCs/>
              </w:rPr>
              <w:t>Summary of </w:t>
            </w:r>
          </w:p>
          <w:p w:rsidR="00CD6A25" w:rsidRDefault="00000000">
            <w:pPr>
              <w:keepNext/>
              <w:spacing w:after="0" w:line="240" w:lineRule="auto"/>
              <w:jc w:val="center"/>
              <w:rPr>
                <w:b/>
              </w:rPr>
            </w:pPr>
            <w:r>
              <w:rPr>
                <w:b/>
                <w:bCs/>
              </w:rPr>
              <w:t>comments received</w:t>
            </w:r>
          </w:p>
        </w:tc>
        <w:tc>
          <w:tcPr>
            <w:tcW w:w="783" w:type="pct"/>
            <w:tcBorders>
              <w:top w:val="single" w:sz="4" w:space="0" w:color="auto"/>
              <w:left w:val="single" w:sz="4" w:space="0" w:color="auto"/>
              <w:bottom w:val="single" w:sz="4" w:space="0" w:color="auto"/>
              <w:right w:val="single" w:sz="4" w:space="0" w:color="auto"/>
            </w:tcBorders>
            <w:hideMark/>
          </w:tcPr>
          <w:p w:rsidR="00CD6A25" w:rsidRDefault="00000000">
            <w:pPr>
              <w:keepNext/>
              <w:spacing w:after="0" w:line="240" w:lineRule="auto"/>
              <w:jc w:val="center"/>
              <w:rPr>
                <w:b/>
              </w:rPr>
            </w:pPr>
            <w:r>
              <w:rPr>
                <w:b/>
                <w:bCs/>
              </w:rPr>
              <w:t>Summary of comments not accepted and reasons</w:t>
            </w:r>
          </w:p>
        </w:tc>
        <w:tc>
          <w:tcPr>
            <w:tcW w:w="740" w:type="pct"/>
            <w:tcBorders>
              <w:top w:val="single" w:sz="4" w:space="0" w:color="auto"/>
              <w:left w:val="single" w:sz="4" w:space="0" w:color="auto"/>
              <w:bottom w:val="single" w:sz="4" w:space="0" w:color="auto"/>
              <w:right w:val="single" w:sz="4" w:space="0" w:color="auto"/>
            </w:tcBorders>
            <w:hideMark/>
          </w:tcPr>
          <w:p w:rsidR="00CD6A25" w:rsidRDefault="00000000">
            <w:pPr>
              <w:keepNext/>
              <w:spacing w:after="0" w:line="240" w:lineRule="auto"/>
              <w:jc w:val="center"/>
              <w:rPr>
                <w:b/>
              </w:rPr>
            </w:pPr>
            <w:r>
              <w:rPr>
                <w:b/>
                <w:bCs/>
              </w:rPr>
              <w:t>URL (If applicable)</w:t>
            </w:r>
          </w:p>
        </w:tc>
      </w:tr>
      <w:tr w:rsidR="00CD6A25">
        <w:trPr>
          <w:cantSplit/>
        </w:trPr>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Newspaper Ad</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Minorities</w:t>
            </w:r>
            <w:r>
              <w:rPr>
                <w:color w:val="000000"/>
              </w:rPr>
              <w:br/>
              <w:t xml:space="preserve"> </w:t>
            </w:r>
            <w:r>
              <w:rPr>
                <w:color w:val="000000"/>
              </w:rPr>
              <w:br/>
              <w:t>Non-English Speaking - Specify other language: Spanish</w:t>
            </w:r>
            <w:r>
              <w:rPr>
                <w:color w:val="000000"/>
              </w:rPr>
              <w:br/>
              <w:t xml:space="preserve"> </w:t>
            </w:r>
            <w:r>
              <w:rPr>
                <w:color w:val="000000"/>
              </w:rPr>
              <w:br/>
              <w:t>Persons with disabilities</w:t>
            </w:r>
            <w:r>
              <w:rPr>
                <w:color w:val="000000"/>
              </w:rPr>
              <w:br/>
              <w:t xml:space="preserve"> </w:t>
            </w:r>
            <w:r>
              <w:rPr>
                <w:color w:val="000000"/>
              </w:rPr>
              <w:br/>
            </w:r>
            <w:proofErr w:type="gramStart"/>
            <w:r>
              <w:rPr>
                <w:color w:val="000000"/>
              </w:rPr>
              <w:t>Non-targeted</w:t>
            </w:r>
            <w:proofErr w:type="gramEnd"/>
            <w:r>
              <w:rPr>
                <w:color w:val="000000"/>
              </w:rPr>
              <w:t>/broad community</w:t>
            </w:r>
            <w:r>
              <w:rPr>
                <w:color w:val="000000"/>
              </w:rPr>
              <w:br/>
              <w:t xml:space="preserve"> </w:t>
            </w:r>
            <w:r>
              <w:rPr>
                <w:color w:val="000000"/>
              </w:rPr>
              <w:br/>
              <w:t>Residents of Public and Assisted Housing</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Public Notice, in English and Spanish, was published on January 7, 2025 in the Albuquerque Journal announcing a Public Hearing to present the draft Program Year 2025 Action Plan for public review and comment.</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N/A</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N/A</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 xml:space="preserve"> </w:t>
            </w:r>
          </w:p>
        </w:tc>
      </w:tr>
      <w:tr w:rsidR="00CD6A25">
        <w:trPr>
          <w:cantSplit/>
        </w:trPr>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lastRenderedPageBreak/>
              <w:t>2</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Internet Outreach</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Minorities</w:t>
            </w:r>
            <w:r>
              <w:rPr>
                <w:color w:val="000000"/>
              </w:rPr>
              <w:br/>
              <w:t xml:space="preserve"> </w:t>
            </w:r>
            <w:r>
              <w:rPr>
                <w:color w:val="000000"/>
              </w:rPr>
              <w:br/>
              <w:t>Non-English Speaking - Specify other language: Spanish</w:t>
            </w:r>
            <w:r>
              <w:rPr>
                <w:color w:val="000000"/>
              </w:rPr>
              <w:br/>
              <w:t xml:space="preserve"> </w:t>
            </w:r>
            <w:r>
              <w:rPr>
                <w:color w:val="000000"/>
              </w:rPr>
              <w:br/>
              <w:t>Persons with disabilities</w:t>
            </w:r>
            <w:r>
              <w:rPr>
                <w:color w:val="000000"/>
              </w:rPr>
              <w:br/>
              <w:t xml:space="preserve"> </w:t>
            </w:r>
            <w:r>
              <w:rPr>
                <w:color w:val="000000"/>
              </w:rPr>
              <w:br/>
            </w:r>
            <w:proofErr w:type="gramStart"/>
            <w:r>
              <w:rPr>
                <w:color w:val="000000"/>
              </w:rPr>
              <w:t>Non-targeted</w:t>
            </w:r>
            <w:proofErr w:type="gramEnd"/>
            <w:r>
              <w:rPr>
                <w:color w:val="000000"/>
              </w:rPr>
              <w:t>/broad community</w:t>
            </w:r>
            <w:r>
              <w:rPr>
                <w:color w:val="000000"/>
              </w:rPr>
              <w:br/>
              <w:t xml:space="preserve"> </w:t>
            </w:r>
            <w:r>
              <w:rPr>
                <w:color w:val="000000"/>
              </w:rPr>
              <w:br/>
              <w:t>Residents of Public and Assisted Housing</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 xml:space="preserve">The Public Notice, in English and Spanish, were posted on the </w:t>
            </w:r>
            <w:proofErr w:type="gramStart"/>
            <w:r>
              <w:rPr>
                <w:color w:val="000000"/>
              </w:rPr>
              <w:t>City</w:t>
            </w:r>
            <w:proofErr w:type="gramEnd"/>
            <w:r>
              <w:rPr>
                <w:color w:val="000000"/>
              </w:rPr>
              <w:t xml:space="preserve"> website, as well as social media accounts.</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https://www.cabq.gov/health-housing-homelessness/news</w:t>
            </w:r>
          </w:p>
        </w:tc>
      </w:tr>
      <w:tr w:rsidR="00CD6A25">
        <w:trPr>
          <w:cantSplit/>
        </w:trPr>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lastRenderedPageBreak/>
              <w:t>3</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Posted at Public Facilities</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Minorities</w:t>
            </w:r>
            <w:r>
              <w:rPr>
                <w:color w:val="000000"/>
              </w:rPr>
              <w:br/>
              <w:t xml:space="preserve"> </w:t>
            </w:r>
            <w:r>
              <w:rPr>
                <w:color w:val="000000"/>
              </w:rPr>
              <w:br/>
              <w:t>Non-English Speaking - Specify other language: Spanish</w:t>
            </w:r>
            <w:r>
              <w:rPr>
                <w:color w:val="000000"/>
              </w:rPr>
              <w:br/>
              <w:t xml:space="preserve"> </w:t>
            </w:r>
            <w:r>
              <w:rPr>
                <w:color w:val="000000"/>
              </w:rPr>
              <w:br/>
              <w:t>Persons with disabilities</w:t>
            </w:r>
            <w:r>
              <w:rPr>
                <w:color w:val="000000"/>
              </w:rPr>
              <w:br/>
              <w:t xml:space="preserve"> </w:t>
            </w:r>
            <w:r>
              <w:rPr>
                <w:color w:val="000000"/>
              </w:rPr>
              <w:br/>
            </w:r>
            <w:proofErr w:type="gramStart"/>
            <w:r>
              <w:rPr>
                <w:color w:val="000000"/>
              </w:rPr>
              <w:t>Non-targeted</w:t>
            </w:r>
            <w:proofErr w:type="gramEnd"/>
            <w:r>
              <w:rPr>
                <w:color w:val="000000"/>
              </w:rPr>
              <w:t>/broad community</w:t>
            </w:r>
            <w:r>
              <w:rPr>
                <w:color w:val="000000"/>
              </w:rPr>
              <w:br/>
              <w:t xml:space="preserve"> </w:t>
            </w:r>
            <w:r>
              <w:rPr>
                <w:color w:val="000000"/>
              </w:rPr>
              <w:br/>
              <w:t>Residents of Public and Assisted Housing</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The Public Notice, in English and Spanish, was posted at City Community Centers, Health &amp; Social Service Centers, Senior Centers and Albuquerque Housing Authority.</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 xml:space="preserve"> </w:t>
            </w:r>
          </w:p>
        </w:tc>
      </w:tr>
      <w:tr w:rsidR="00CD6A25">
        <w:trPr>
          <w:cantSplit/>
        </w:trPr>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lastRenderedPageBreak/>
              <w:t>4</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Internet Outreach</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Minorities</w:t>
            </w:r>
            <w:r>
              <w:rPr>
                <w:color w:val="000000"/>
              </w:rPr>
              <w:br/>
              <w:t xml:space="preserve"> </w:t>
            </w:r>
            <w:r>
              <w:rPr>
                <w:color w:val="000000"/>
              </w:rPr>
              <w:br/>
              <w:t>Persons with disabilities</w:t>
            </w:r>
            <w:r>
              <w:rPr>
                <w:color w:val="000000"/>
              </w:rPr>
              <w:br/>
              <w:t xml:space="preserve"> </w:t>
            </w:r>
            <w:r>
              <w:rPr>
                <w:color w:val="000000"/>
              </w:rPr>
              <w:br/>
            </w:r>
            <w:proofErr w:type="gramStart"/>
            <w:r>
              <w:rPr>
                <w:color w:val="000000"/>
              </w:rPr>
              <w:t>Non-targeted</w:t>
            </w:r>
            <w:proofErr w:type="gramEnd"/>
            <w:r>
              <w:rPr>
                <w:color w:val="000000"/>
              </w:rPr>
              <w:t>/broad community</w:t>
            </w:r>
            <w:r>
              <w:rPr>
                <w:color w:val="000000"/>
              </w:rPr>
              <w:br/>
              <w:t xml:space="preserve"> </w:t>
            </w:r>
            <w:r>
              <w:rPr>
                <w:color w:val="000000"/>
              </w:rPr>
              <w:br/>
              <w:t>Residents of Public and Assisted Housing</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The notice of pubic hearing was sent via email to current and past subrecipients and contractors, which included social service agencies and housing developers on a Department of Health, Housing &amp; Homelessness email list. The email list serv contains approximately 3,500 recipients.</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 xml:space="preserve"> </w:t>
            </w:r>
          </w:p>
        </w:tc>
      </w:tr>
      <w:tr w:rsidR="00CD6A25">
        <w:trPr>
          <w:cantSplit/>
        </w:trPr>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lastRenderedPageBreak/>
              <w:t>5</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Internet Outreach</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Minorities</w:t>
            </w:r>
            <w:r>
              <w:rPr>
                <w:color w:val="000000"/>
              </w:rPr>
              <w:br/>
              <w:t xml:space="preserve"> </w:t>
            </w:r>
            <w:r>
              <w:rPr>
                <w:color w:val="000000"/>
              </w:rPr>
              <w:br/>
              <w:t>Persons with disabilities</w:t>
            </w:r>
            <w:r>
              <w:rPr>
                <w:color w:val="000000"/>
              </w:rPr>
              <w:br/>
              <w:t xml:space="preserve"> </w:t>
            </w:r>
            <w:r>
              <w:rPr>
                <w:color w:val="000000"/>
              </w:rPr>
              <w:br/>
            </w:r>
            <w:proofErr w:type="gramStart"/>
            <w:r>
              <w:rPr>
                <w:color w:val="000000"/>
              </w:rPr>
              <w:t>Non-targeted</w:t>
            </w:r>
            <w:proofErr w:type="gramEnd"/>
            <w:r>
              <w:rPr>
                <w:color w:val="000000"/>
              </w:rPr>
              <w:t>/broad community</w:t>
            </w:r>
            <w:r>
              <w:rPr>
                <w:color w:val="000000"/>
              </w:rPr>
              <w:br/>
              <w:t xml:space="preserve"> </w:t>
            </w:r>
            <w:r>
              <w:rPr>
                <w:color w:val="000000"/>
              </w:rPr>
              <w:br/>
              <w:t>Residents of Public and Assisted Housing</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 xml:space="preserve">The notice of pubic hearing was sent via email in a Weekly </w:t>
            </w:r>
            <w:proofErr w:type="spellStart"/>
            <w:r>
              <w:rPr>
                <w:color w:val="000000"/>
              </w:rPr>
              <w:t>Enews</w:t>
            </w:r>
            <w:proofErr w:type="spellEnd"/>
            <w:r>
              <w:rPr>
                <w:color w:val="000000"/>
              </w:rPr>
              <w:t xml:space="preserve"> from the City's Office of Neighborhood Coordination to its email list.</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 xml:space="preserve"> </w:t>
            </w:r>
          </w:p>
        </w:tc>
      </w:tr>
      <w:tr w:rsidR="00CD6A25">
        <w:trPr>
          <w:cantSplit/>
        </w:trPr>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lastRenderedPageBreak/>
              <w:t>6</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Public Hearing</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Minorities</w:t>
            </w:r>
            <w:r>
              <w:rPr>
                <w:color w:val="000000"/>
              </w:rPr>
              <w:br/>
              <w:t xml:space="preserve"> </w:t>
            </w:r>
            <w:r>
              <w:rPr>
                <w:color w:val="000000"/>
              </w:rPr>
              <w:br/>
              <w:t>Persons with disabilities</w:t>
            </w:r>
            <w:r>
              <w:rPr>
                <w:color w:val="000000"/>
              </w:rPr>
              <w:br/>
              <w:t xml:space="preserve"> </w:t>
            </w:r>
            <w:r>
              <w:rPr>
                <w:color w:val="000000"/>
              </w:rPr>
              <w:br/>
            </w:r>
            <w:proofErr w:type="gramStart"/>
            <w:r>
              <w:rPr>
                <w:color w:val="000000"/>
              </w:rPr>
              <w:t>Non-targeted</w:t>
            </w:r>
            <w:proofErr w:type="gramEnd"/>
            <w:r>
              <w:rPr>
                <w:color w:val="000000"/>
              </w:rPr>
              <w:t>/broad community</w:t>
            </w:r>
            <w:r>
              <w:rPr>
                <w:color w:val="000000"/>
              </w:rPr>
              <w:br/>
              <w:t xml:space="preserve"> </w:t>
            </w:r>
            <w:r>
              <w:rPr>
                <w:color w:val="000000"/>
              </w:rPr>
              <w:br/>
              <w:t>Residents of Public and Assisted Housing</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The Public Hearing was held in-person and virtually. There were 13 community members, along with 4 Health, Housing &amp; Homelessness staff members, at the in-person Public Hearing, along with 20 community member participants via Zoom.</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 xml:space="preserve">Two comments were received during the Public Hearing. The first suggested collaboration with community partners to provide services at community centers for the unhoused and suggested a partnership with NM Eviction Prevention &amp; Diversion and the City's Eviction Prevention Program. The 2nd comment asked why living in a vehicle was illegal, what </w:t>
            </w:r>
            <w:r>
              <w:rPr>
                <w:color w:val="000000"/>
              </w:rPr>
              <w:lastRenderedPageBreak/>
              <w:t>happens when your possessions are put in a dumpster and if you are a homeowner what happens if homeless persons are damaging your property.</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lastRenderedPageBreak/>
              <w:t xml:space="preserve">The second comment received was not accepted because the questions/comments submitted did not directly pertain to the funded activities of the 2025 Action Plan. The comment contained three (3) questions: 1. Why is it illegal to live in your vehicle; 2. What happens when your belongings are thrown in the </w:t>
            </w:r>
            <w:proofErr w:type="gramStart"/>
            <w:r>
              <w:rPr>
                <w:color w:val="000000"/>
              </w:rPr>
              <w:t>dumpster?;</w:t>
            </w:r>
            <w:proofErr w:type="gramEnd"/>
            <w:r>
              <w:rPr>
                <w:color w:val="000000"/>
              </w:rPr>
              <w:t xml:space="preserve"> and 3. What happens when you're a homeowner and persons experiencing homelessness are damaging property. Although </w:t>
            </w:r>
            <w:r>
              <w:rPr>
                <w:color w:val="000000"/>
              </w:rPr>
              <w:lastRenderedPageBreak/>
              <w:t xml:space="preserve">the comment was not accepted, the </w:t>
            </w:r>
            <w:proofErr w:type="gramStart"/>
            <w:r>
              <w:rPr>
                <w:color w:val="000000"/>
              </w:rPr>
              <w:t>City</w:t>
            </w:r>
            <w:proofErr w:type="gramEnd"/>
            <w:r>
              <w:rPr>
                <w:color w:val="000000"/>
              </w:rPr>
              <w:t xml:space="preserve"> did provide a response.</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lastRenderedPageBreak/>
              <w:t xml:space="preserve"> </w:t>
            </w:r>
          </w:p>
        </w:tc>
      </w:tr>
      <w:tr w:rsidR="00CD6A25">
        <w:trPr>
          <w:cantSplit/>
        </w:trPr>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lastRenderedPageBreak/>
              <w:t>7</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Internet Outreach</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Minorities</w:t>
            </w:r>
            <w:r>
              <w:rPr>
                <w:color w:val="000000"/>
              </w:rPr>
              <w:br/>
              <w:t xml:space="preserve"> </w:t>
            </w:r>
            <w:r>
              <w:rPr>
                <w:color w:val="000000"/>
              </w:rPr>
              <w:br/>
              <w:t>Persons with disabilities</w:t>
            </w:r>
            <w:r>
              <w:rPr>
                <w:color w:val="000000"/>
              </w:rPr>
              <w:br/>
              <w:t xml:space="preserve"> </w:t>
            </w:r>
            <w:r>
              <w:rPr>
                <w:color w:val="000000"/>
              </w:rPr>
              <w:br/>
            </w:r>
            <w:proofErr w:type="gramStart"/>
            <w:r>
              <w:rPr>
                <w:color w:val="000000"/>
              </w:rPr>
              <w:t>Non-targeted</w:t>
            </w:r>
            <w:proofErr w:type="gramEnd"/>
            <w:r>
              <w:rPr>
                <w:color w:val="000000"/>
              </w:rPr>
              <w:t>/broad community</w:t>
            </w:r>
            <w:r>
              <w:rPr>
                <w:color w:val="000000"/>
              </w:rPr>
              <w:br/>
              <w:t xml:space="preserve"> </w:t>
            </w:r>
            <w:r>
              <w:rPr>
                <w:color w:val="000000"/>
              </w:rPr>
              <w:br/>
              <w:t>Residents of Public and Assisted Housing</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 xml:space="preserve">The draft Action Plan and Public Hearing PowerPoint were posted on the </w:t>
            </w:r>
            <w:proofErr w:type="gramStart"/>
            <w:r>
              <w:rPr>
                <w:color w:val="000000"/>
              </w:rPr>
              <w:t>City</w:t>
            </w:r>
            <w:proofErr w:type="gramEnd"/>
            <w:r>
              <w:rPr>
                <w:color w:val="000000"/>
              </w:rPr>
              <w:t xml:space="preserve"> website for public review and comment.</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 xml:space="preserve">Two (2) comments were received during the 30-day comment period. One comment was from </w:t>
            </w:r>
            <w:proofErr w:type="spellStart"/>
            <w:r>
              <w:rPr>
                <w:color w:val="000000"/>
              </w:rPr>
              <w:t>Cuidando</w:t>
            </w:r>
            <w:proofErr w:type="spellEnd"/>
            <w:r>
              <w:rPr>
                <w:color w:val="000000"/>
              </w:rPr>
              <w:t xml:space="preserve"> Los </w:t>
            </w:r>
            <w:proofErr w:type="spellStart"/>
            <w:r>
              <w:rPr>
                <w:color w:val="000000"/>
              </w:rPr>
              <w:t>Ninos</w:t>
            </w:r>
            <w:proofErr w:type="spellEnd"/>
            <w:r>
              <w:rPr>
                <w:color w:val="000000"/>
              </w:rPr>
              <w:t xml:space="preserve"> indicating that they did not want to receive the CDBG, and thought it should go towards eviction prevention in the city. The second comment was from the Chair of the CABQ Human Rights Board regarding eviction prevention funding.</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https://www.cabq.gov/health-housing-homelessness/transparency/consolidated-plans-and-amendments</w:t>
            </w:r>
          </w:p>
        </w:tc>
      </w:tr>
      <w:tr w:rsidR="00CD6A25">
        <w:trPr>
          <w:cantSplit/>
        </w:trPr>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lastRenderedPageBreak/>
              <w:t>8</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Public Meeting</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Minorities</w:t>
            </w:r>
            <w:r>
              <w:rPr>
                <w:color w:val="000000"/>
              </w:rPr>
              <w:br/>
              <w:t xml:space="preserve"> </w:t>
            </w:r>
            <w:r>
              <w:rPr>
                <w:color w:val="000000"/>
              </w:rPr>
              <w:br/>
              <w:t>Persons with disabilities</w:t>
            </w:r>
            <w:r>
              <w:rPr>
                <w:color w:val="000000"/>
              </w:rPr>
              <w:br/>
              <w:t xml:space="preserve"> </w:t>
            </w:r>
            <w:r>
              <w:rPr>
                <w:color w:val="000000"/>
              </w:rPr>
              <w:br/>
            </w:r>
            <w:proofErr w:type="gramStart"/>
            <w:r>
              <w:rPr>
                <w:color w:val="000000"/>
              </w:rPr>
              <w:t>Non-targeted</w:t>
            </w:r>
            <w:proofErr w:type="gramEnd"/>
            <w:r>
              <w:rPr>
                <w:color w:val="000000"/>
              </w:rPr>
              <w:t>/broad community</w:t>
            </w:r>
            <w:r>
              <w:rPr>
                <w:color w:val="000000"/>
              </w:rPr>
              <w:br/>
              <w:t xml:space="preserve"> </w:t>
            </w:r>
            <w:r>
              <w:rPr>
                <w:color w:val="000000"/>
              </w:rPr>
              <w:br/>
              <w:t>Residents of Public and Assisted Housing</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An Informational Meeting was held virtually to garner additional citizen participation. There were 10 community members and 4 Department staff in attendance.</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No comments were received during the meeting.</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N/A</w:t>
            </w:r>
          </w:p>
        </w:tc>
        <w:tc>
          <w:tcPr>
            <w:tcW w:w="0" w:type="auto"/>
            <w:tcBorders>
              <w:top w:val="single" w:sz="4" w:space="0" w:color="auto"/>
              <w:left w:val="single" w:sz="4" w:space="0" w:color="auto"/>
              <w:bottom w:val="single" w:sz="4" w:space="0" w:color="auto"/>
              <w:right w:val="single" w:sz="4" w:space="0" w:color="auto"/>
            </w:tcBorders>
            <w:vAlign w:val="center"/>
          </w:tcPr>
          <w:p w:rsidR="00CD6A25" w:rsidRDefault="00000000">
            <w:pPr>
              <w:spacing w:beforeAutospacing="1" w:afterAutospacing="1"/>
            </w:pPr>
            <w:r>
              <w:rPr>
                <w:color w:val="000000"/>
              </w:rPr>
              <w:t xml:space="preserve"> </w:t>
            </w:r>
          </w:p>
        </w:tc>
      </w:tr>
    </w:tbl>
    <w:p w:rsidR="00CD6A25" w:rsidRDefault="0000000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Citizen Participation Outreach</w:t>
      </w:r>
    </w:p>
    <w:p w:rsidR="00CD6A25" w:rsidRDefault="00CD6A25">
      <w:pPr>
        <w:rPr>
          <w:rFonts w:cs="Arial"/>
        </w:rPr>
        <w:sectPr w:rsidR="00CD6A25">
          <w:footerReference w:type="default" r:id="rId14"/>
          <w:pgSz w:w="15840" w:h="12240" w:orient="landscape" w:code="1"/>
          <w:pgMar w:top="1440" w:right="1440" w:bottom="1440" w:left="1440" w:header="720" w:footer="720" w:gutter="0"/>
          <w:cols w:space="720"/>
          <w:docGrid w:linePitch="360"/>
        </w:sectPr>
      </w:pPr>
    </w:p>
    <w:p w:rsidR="00CD6A25" w:rsidRDefault="00CD6A25">
      <w:pPr>
        <w:rPr>
          <w:rFonts w:cs="Arial"/>
        </w:rPr>
      </w:pPr>
    </w:p>
    <w:p w:rsidR="00CD6A25" w:rsidRDefault="00000000">
      <w:pPr>
        <w:pStyle w:val="Heading1"/>
        <w:ind w:firstLine="720"/>
        <w:jc w:val="center"/>
        <w:rPr>
          <w:rFonts w:ascii="Calibri" w:hAnsi="Calibri"/>
          <w:color w:val="auto"/>
          <w:sz w:val="32"/>
          <w:szCs w:val="32"/>
        </w:rPr>
      </w:pPr>
      <w:r>
        <w:rPr>
          <w:rFonts w:ascii="Calibri" w:hAnsi="Calibri"/>
          <w:color w:val="auto"/>
          <w:sz w:val="32"/>
          <w:szCs w:val="32"/>
        </w:rPr>
        <w:t xml:space="preserve">Expected Resources </w:t>
      </w:r>
    </w:p>
    <w:p w:rsidR="00CD6A25" w:rsidRDefault="00000000">
      <w:pPr>
        <w:pStyle w:val="Heading2"/>
        <w:rPr>
          <w:rFonts w:ascii="Calibri" w:hAnsi="Calibri"/>
          <w:i w:val="0"/>
        </w:rPr>
      </w:pPr>
      <w:r>
        <w:rPr>
          <w:rFonts w:ascii="Calibri" w:hAnsi="Calibri"/>
          <w:i w:val="0"/>
        </w:rPr>
        <w:t>AP-15 Expected Resources – 91.220(c</w:t>
      </w:r>
      <w:proofErr w:type="gramStart"/>
      <w:r>
        <w:rPr>
          <w:rFonts w:ascii="Calibri" w:hAnsi="Calibri"/>
          <w:i w:val="0"/>
        </w:rPr>
        <w:t>)(</w:t>
      </w:r>
      <w:proofErr w:type="gramEnd"/>
      <w:r>
        <w:rPr>
          <w:rFonts w:ascii="Calibri" w:hAnsi="Calibri"/>
          <w:i w:val="0"/>
        </w:rPr>
        <w:t>1,2)</w:t>
      </w:r>
    </w:p>
    <w:p w:rsidR="00CD6A25" w:rsidRDefault="00000000">
      <w:pPr>
        <w:keepNext/>
        <w:widowControl w:val="0"/>
        <w:spacing w:line="204" w:lineRule="auto"/>
        <w:rPr>
          <w:b/>
          <w:sz w:val="28"/>
          <w:szCs w:val="28"/>
        </w:rPr>
      </w:pPr>
      <w:r>
        <w:rPr>
          <w:b/>
          <w:sz w:val="24"/>
          <w:szCs w:val="24"/>
        </w:rPr>
        <w:t>Introduction</w:t>
      </w:r>
    </w:p>
    <w:p w:rsidR="00CD6A25" w:rsidRDefault="00000000">
      <w:pPr>
        <w:keepNext/>
        <w:widowControl w:val="0"/>
        <w:spacing w:beforeAutospacing="1" w:afterAutospacing="1"/>
        <w:rPr>
          <w:b/>
          <w:sz w:val="24"/>
          <w:szCs w:val="24"/>
        </w:rPr>
      </w:pPr>
      <w:r>
        <w:t>The City anticipates the availability of the following resources listed by fund type, inclusive of HUD entitlement funds, program income, prior year(s) HUD funds and local resources: CDBG - $4,416,720.00; HOME - $2,057,084.88; ESG - $371,047.00; General Fund- $1,115,718.22 for the 2025 Action Pan. </w:t>
      </w:r>
    </w:p>
    <w:p w:rsidR="00CD6A25" w:rsidRDefault="00000000">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1092"/>
        <w:gridCol w:w="2476"/>
        <w:gridCol w:w="1385"/>
        <w:gridCol w:w="1233"/>
        <w:gridCol w:w="1165"/>
        <w:gridCol w:w="1385"/>
        <w:gridCol w:w="1385"/>
        <w:gridCol w:w="1605"/>
      </w:tblGrid>
      <w:tr w:rsidR="00CD6A25">
        <w:trPr>
          <w:cantSplit/>
          <w:tblHeader/>
        </w:trPr>
        <w:tc>
          <w:tcPr>
            <w:tcW w:w="1793" w:type="dxa"/>
            <w:vMerge w:val="restart"/>
          </w:tcPr>
          <w:p w:rsidR="00CD6A25" w:rsidRDefault="00000000">
            <w:pPr>
              <w:keepNext/>
              <w:widowControl w:val="0"/>
              <w:spacing w:after="0" w:line="240" w:lineRule="auto"/>
              <w:jc w:val="center"/>
              <w:rPr>
                <w:b/>
                <w:sz w:val="24"/>
                <w:szCs w:val="24"/>
              </w:rPr>
            </w:pPr>
            <w:r>
              <w:rPr>
                <w:b/>
                <w:sz w:val="20"/>
                <w:szCs w:val="20"/>
              </w:rPr>
              <w:t>Program</w:t>
            </w:r>
          </w:p>
        </w:tc>
        <w:tc>
          <w:tcPr>
            <w:tcW w:w="820" w:type="dxa"/>
            <w:vMerge w:val="restart"/>
          </w:tcPr>
          <w:p w:rsidR="00CD6A25" w:rsidRDefault="00000000">
            <w:pPr>
              <w:keepNext/>
              <w:widowControl w:val="0"/>
              <w:spacing w:after="0" w:line="240" w:lineRule="auto"/>
              <w:jc w:val="center"/>
              <w:rPr>
                <w:b/>
                <w:sz w:val="24"/>
                <w:szCs w:val="24"/>
              </w:rPr>
            </w:pPr>
            <w:r>
              <w:rPr>
                <w:b/>
                <w:sz w:val="20"/>
                <w:szCs w:val="20"/>
              </w:rPr>
              <w:t>Source of Funds</w:t>
            </w:r>
          </w:p>
        </w:tc>
        <w:tc>
          <w:tcPr>
            <w:tcW w:w="1936" w:type="dxa"/>
            <w:vMerge w:val="restart"/>
          </w:tcPr>
          <w:p w:rsidR="00CD6A25" w:rsidRDefault="00000000">
            <w:pPr>
              <w:keepNext/>
              <w:widowControl w:val="0"/>
              <w:spacing w:after="0" w:line="240" w:lineRule="auto"/>
              <w:jc w:val="center"/>
              <w:rPr>
                <w:b/>
                <w:sz w:val="24"/>
                <w:szCs w:val="24"/>
              </w:rPr>
            </w:pPr>
            <w:r>
              <w:rPr>
                <w:b/>
                <w:sz w:val="20"/>
                <w:szCs w:val="20"/>
              </w:rPr>
              <w:t>Uses of Funds</w:t>
            </w:r>
          </w:p>
        </w:tc>
        <w:tc>
          <w:tcPr>
            <w:tcW w:w="4804" w:type="dxa"/>
            <w:gridSpan w:val="4"/>
          </w:tcPr>
          <w:p w:rsidR="00CD6A25" w:rsidRDefault="00000000">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CD6A25" w:rsidRDefault="00000000">
            <w:pPr>
              <w:keepNext/>
              <w:widowControl w:val="0"/>
              <w:spacing w:after="0" w:line="240" w:lineRule="auto"/>
              <w:jc w:val="center"/>
              <w:rPr>
                <w:b/>
                <w:sz w:val="20"/>
                <w:szCs w:val="20"/>
              </w:rPr>
            </w:pPr>
            <w:r>
              <w:rPr>
                <w:b/>
                <w:sz w:val="20"/>
                <w:szCs w:val="20"/>
              </w:rPr>
              <w:t xml:space="preserve">Expected Amount Available Remainder of </w:t>
            </w:r>
            <w:proofErr w:type="spellStart"/>
            <w:r>
              <w:rPr>
                <w:b/>
                <w:sz w:val="20"/>
                <w:szCs w:val="20"/>
              </w:rPr>
              <w:t>ConPlan</w:t>
            </w:r>
            <w:proofErr w:type="spellEnd"/>
            <w:r>
              <w:rPr>
                <w:b/>
                <w:sz w:val="20"/>
                <w:szCs w:val="20"/>
              </w:rPr>
              <w:t xml:space="preserve"> </w:t>
            </w:r>
          </w:p>
          <w:p w:rsidR="00CD6A25" w:rsidRDefault="00000000">
            <w:pPr>
              <w:keepNext/>
              <w:widowControl w:val="0"/>
              <w:spacing w:after="0" w:line="240" w:lineRule="auto"/>
              <w:jc w:val="center"/>
              <w:rPr>
                <w:b/>
                <w:sz w:val="24"/>
                <w:szCs w:val="24"/>
              </w:rPr>
            </w:pPr>
            <w:r>
              <w:rPr>
                <w:b/>
                <w:sz w:val="20"/>
                <w:szCs w:val="20"/>
              </w:rPr>
              <w:t>$</w:t>
            </w:r>
          </w:p>
        </w:tc>
        <w:tc>
          <w:tcPr>
            <w:tcW w:w="2448" w:type="dxa"/>
            <w:vMerge w:val="restart"/>
          </w:tcPr>
          <w:p w:rsidR="00CD6A25" w:rsidRDefault="00000000">
            <w:pPr>
              <w:keepNext/>
              <w:widowControl w:val="0"/>
              <w:spacing w:after="0" w:line="240" w:lineRule="auto"/>
              <w:jc w:val="center"/>
              <w:rPr>
                <w:b/>
                <w:sz w:val="24"/>
                <w:szCs w:val="24"/>
              </w:rPr>
            </w:pPr>
            <w:r>
              <w:rPr>
                <w:b/>
                <w:sz w:val="20"/>
                <w:szCs w:val="20"/>
              </w:rPr>
              <w:t>Narrative Description</w:t>
            </w:r>
          </w:p>
        </w:tc>
      </w:tr>
      <w:tr w:rsidR="00CD6A25">
        <w:trPr>
          <w:cantSplit/>
          <w:tblHeader/>
        </w:trPr>
        <w:tc>
          <w:tcPr>
            <w:tcW w:w="1793" w:type="dxa"/>
            <w:vMerge/>
          </w:tcPr>
          <w:p w:rsidR="00CD6A25" w:rsidRDefault="00CD6A25">
            <w:pPr>
              <w:keepNext/>
              <w:widowControl w:val="0"/>
              <w:spacing w:after="0" w:line="240" w:lineRule="auto"/>
              <w:jc w:val="center"/>
              <w:rPr>
                <w:b/>
                <w:sz w:val="24"/>
                <w:szCs w:val="24"/>
              </w:rPr>
            </w:pPr>
          </w:p>
        </w:tc>
        <w:tc>
          <w:tcPr>
            <w:tcW w:w="820" w:type="dxa"/>
            <w:vMerge/>
          </w:tcPr>
          <w:p w:rsidR="00CD6A25" w:rsidRDefault="00CD6A25">
            <w:pPr>
              <w:keepNext/>
              <w:widowControl w:val="0"/>
              <w:spacing w:after="0" w:line="240" w:lineRule="auto"/>
              <w:jc w:val="center"/>
              <w:rPr>
                <w:b/>
                <w:sz w:val="24"/>
                <w:szCs w:val="24"/>
              </w:rPr>
            </w:pPr>
          </w:p>
        </w:tc>
        <w:tc>
          <w:tcPr>
            <w:tcW w:w="1936" w:type="dxa"/>
            <w:vMerge/>
          </w:tcPr>
          <w:p w:rsidR="00CD6A25" w:rsidRDefault="00CD6A25">
            <w:pPr>
              <w:keepNext/>
              <w:widowControl w:val="0"/>
              <w:spacing w:after="0" w:line="240" w:lineRule="auto"/>
              <w:jc w:val="center"/>
              <w:rPr>
                <w:b/>
                <w:sz w:val="24"/>
                <w:szCs w:val="24"/>
              </w:rPr>
            </w:pPr>
          </w:p>
        </w:tc>
        <w:tc>
          <w:tcPr>
            <w:tcW w:w="1204" w:type="dxa"/>
          </w:tcPr>
          <w:p w:rsidR="00CD6A25" w:rsidRDefault="00000000">
            <w:pPr>
              <w:keepNext/>
              <w:widowControl w:val="0"/>
              <w:spacing w:after="0" w:line="240" w:lineRule="auto"/>
              <w:jc w:val="center"/>
              <w:rPr>
                <w:b/>
                <w:sz w:val="24"/>
                <w:szCs w:val="24"/>
              </w:rPr>
            </w:pPr>
            <w:r>
              <w:rPr>
                <w:b/>
                <w:sz w:val="20"/>
                <w:szCs w:val="20"/>
              </w:rPr>
              <w:t>Annual Allocation: $</w:t>
            </w:r>
          </w:p>
        </w:tc>
        <w:tc>
          <w:tcPr>
            <w:tcW w:w="1260" w:type="dxa"/>
          </w:tcPr>
          <w:p w:rsidR="00CD6A25" w:rsidRDefault="00000000">
            <w:pPr>
              <w:keepNext/>
              <w:widowControl w:val="0"/>
              <w:spacing w:after="0" w:line="240" w:lineRule="auto"/>
              <w:jc w:val="center"/>
              <w:rPr>
                <w:b/>
                <w:sz w:val="24"/>
                <w:szCs w:val="24"/>
              </w:rPr>
            </w:pPr>
            <w:r>
              <w:rPr>
                <w:b/>
                <w:sz w:val="20"/>
                <w:szCs w:val="20"/>
              </w:rPr>
              <w:t>Program Income: $</w:t>
            </w:r>
          </w:p>
        </w:tc>
        <w:tc>
          <w:tcPr>
            <w:tcW w:w="1260" w:type="dxa"/>
          </w:tcPr>
          <w:p w:rsidR="00CD6A25" w:rsidRDefault="00000000">
            <w:pPr>
              <w:keepNext/>
              <w:widowControl w:val="0"/>
              <w:spacing w:after="0" w:line="240" w:lineRule="auto"/>
              <w:jc w:val="center"/>
              <w:rPr>
                <w:b/>
                <w:sz w:val="24"/>
                <w:szCs w:val="24"/>
              </w:rPr>
            </w:pPr>
            <w:r>
              <w:rPr>
                <w:b/>
                <w:sz w:val="20"/>
                <w:szCs w:val="20"/>
              </w:rPr>
              <w:t>Prior Year Resources: $</w:t>
            </w:r>
          </w:p>
        </w:tc>
        <w:tc>
          <w:tcPr>
            <w:tcW w:w="1080" w:type="dxa"/>
          </w:tcPr>
          <w:p w:rsidR="00CD6A25" w:rsidRDefault="00000000">
            <w:pPr>
              <w:keepNext/>
              <w:widowControl w:val="0"/>
              <w:spacing w:after="0" w:line="240" w:lineRule="auto"/>
              <w:jc w:val="center"/>
              <w:rPr>
                <w:b/>
                <w:sz w:val="20"/>
                <w:szCs w:val="20"/>
              </w:rPr>
            </w:pPr>
            <w:r>
              <w:rPr>
                <w:b/>
                <w:sz w:val="20"/>
                <w:szCs w:val="20"/>
              </w:rPr>
              <w:t>Total:</w:t>
            </w:r>
          </w:p>
          <w:p w:rsidR="00CD6A25" w:rsidRDefault="00000000">
            <w:pPr>
              <w:keepNext/>
              <w:widowControl w:val="0"/>
              <w:spacing w:after="0" w:line="240" w:lineRule="auto"/>
              <w:jc w:val="center"/>
              <w:rPr>
                <w:b/>
                <w:sz w:val="24"/>
                <w:szCs w:val="24"/>
              </w:rPr>
            </w:pPr>
            <w:r>
              <w:rPr>
                <w:b/>
                <w:sz w:val="20"/>
                <w:szCs w:val="20"/>
              </w:rPr>
              <w:t>$</w:t>
            </w:r>
          </w:p>
        </w:tc>
        <w:tc>
          <w:tcPr>
            <w:tcW w:w="1260" w:type="dxa"/>
            <w:vMerge/>
          </w:tcPr>
          <w:p w:rsidR="00CD6A25" w:rsidRDefault="00CD6A25">
            <w:pPr>
              <w:keepNext/>
              <w:widowControl w:val="0"/>
              <w:spacing w:after="0" w:line="240" w:lineRule="auto"/>
              <w:jc w:val="center"/>
              <w:rPr>
                <w:b/>
                <w:sz w:val="24"/>
                <w:szCs w:val="24"/>
              </w:rPr>
            </w:pPr>
          </w:p>
        </w:tc>
        <w:tc>
          <w:tcPr>
            <w:tcW w:w="2448" w:type="dxa"/>
            <w:vMerge/>
          </w:tcPr>
          <w:p w:rsidR="00CD6A25" w:rsidRDefault="00CD6A25">
            <w:pPr>
              <w:keepNext/>
              <w:widowControl w:val="0"/>
              <w:spacing w:after="0" w:line="240" w:lineRule="auto"/>
              <w:jc w:val="center"/>
              <w:rPr>
                <w:b/>
                <w:sz w:val="24"/>
                <w:szCs w:val="24"/>
              </w:rPr>
            </w:pPr>
          </w:p>
        </w:tc>
      </w:tr>
      <w:tr w:rsidR="00CD6A25">
        <w:trPr>
          <w:cantSplit/>
        </w:trPr>
        <w:tc>
          <w:tcPr>
            <w:tcW w:w="0" w:type="auto"/>
          </w:tcPr>
          <w:p w:rsidR="00CD6A25" w:rsidRDefault="00000000">
            <w:pPr>
              <w:spacing w:beforeAutospacing="1" w:afterAutospacing="1"/>
            </w:pPr>
            <w:r>
              <w:rPr>
                <w:color w:val="000000"/>
              </w:rPr>
              <w:t>CDBG</w:t>
            </w:r>
          </w:p>
        </w:tc>
        <w:tc>
          <w:tcPr>
            <w:tcW w:w="0" w:type="auto"/>
          </w:tcPr>
          <w:p w:rsidR="00CD6A25" w:rsidRDefault="00000000">
            <w:pPr>
              <w:spacing w:beforeAutospacing="1" w:afterAutospacing="1"/>
            </w:pPr>
            <w:r>
              <w:rPr>
                <w:color w:val="000000"/>
              </w:rPr>
              <w:t>public - federal</w:t>
            </w:r>
          </w:p>
        </w:tc>
        <w:tc>
          <w:tcPr>
            <w:tcW w:w="0" w:type="auto"/>
          </w:tcPr>
          <w:p w:rsidR="00CD6A25" w:rsidRDefault="00000000">
            <w:pPr>
              <w:spacing w:beforeAutospacing="1" w:afterAutospacing="1"/>
            </w:pPr>
            <w:r>
              <w:rPr>
                <w:color w:val="000000"/>
              </w:rPr>
              <w:t>Acquisition</w:t>
            </w:r>
            <w:r>
              <w:rPr>
                <w:color w:val="000000"/>
              </w:rPr>
              <w:br/>
              <w:t>Admin and Planning</w:t>
            </w:r>
            <w:r>
              <w:rPr>
                <w:color w:val="000000"/>
              </w:rPr>
              <w:br/>
              <w:t>Economic Development</w:t>
            </w:r>
            <w:r>
              <w:rPr>
                <w:color w:val="000000"/>
              </w:rPr>
              <w:br/>
              <w:t>Housing</w:t>
            </w:r>
            <w:r>
              <w:rPr>
                <w:color w:val="000000"/>
              </w:rPr>
              <w:br/>
              <w:t>Public Improvements</w:t>
            </w:r>
            <w:r>
              <w:rPr>
                <w:color w:val="000000"/>
              </w:rPr>
              <w:br/>
              <w:t>Public Services</w:t>
            </w:r>
          </w:p>
        </w:tc>
        <w:tc>
          <w:tcPr>
            <w:tcW w:w="0" w:type="auto"/>
            <w:vAlign w:val="bottom"/>
          </w:tcPr>
          <w:p w:rsidR="00CD6A25" w:rsidRDefault="00000000">
            <w:pPr>
              <w:spacing w:beforeAutospacing="1" w:afterAutospacing="1"/>
              <w:jc w:val="right"/>
            </w:pPr>
            <w:r>
              <w:rPr>
                <w:color w:val="000000"/>
              </w:rPr>
              <w:t>4,395,720.00</w:t>
            </w:r>
          </w:p>
        </w:tc>
        <w:tc>
          <w:tcPr>
            <w:tcW w:w="0" w:type="auto"/>
            <w:vAlign w:val="bottom"/>
          </w:tcPr>
          <w:p w:rsidR="00CD6A25" w:rsidRDefault="00000000">
            <w:pPr>
              <w:spacing w:beforeAutospacing="1" w:afterAutospacing="1"/>
              <w:jc w:val="right"/>
            </w:pPr>
            <w:r>
              <w:rPr>
                <w:color w:val="000000"/>
              </w:rPr>
              <w:t>21,000.00</w:t>
            </w:r>
          </w:p>
        </w:tc>
        <w:tc>
          <w:tcPr>
            <w:tcW w:w="0" w:type="auto"/>
            <w:vAlign w:val="bottom"/>
          </w:tcPr>
          <w:p w:rsidR="00CD6A25" w:rsidRDefault="00000000">
            <w:pPr>
              <w:spacing w:beforeAutospacing="1" w:afterAutospacing="1"/>
              <w:jc w:val="right"/>
            </w:pPr>
            <w:r>
              <w:rPr>
                <w:color w:val="000000"/>
              </w:rPr>
              <w:t>0.00</w:t>
            </w:r>
          </w:p>
        </w:tc>
        <w:tc>
          <w:tcPr>
            <w:tcW w:w="0" w:type="auto"/>
            <w:vAlign w:val="bottom"/>
          </w:tcPr>
          <w:p w:rsidR="00CD6A25" w:rsidRDefault="00000000">
            <w:pPr>
              <w:spacing w:beforeAutospacing="1" w:afterAutospacing="1"/>
              <w:jc w:val="right"/>
            </w:pPr>
            <w:r>
              <w:rPr>
                <w:color w:val="000000"/>
              </w:rPr>
              <w:t>4,416,720.00</w:t>
            </w:r>
          </w:p>
        </w:tc>
        <w:tc>
          <w:tcPr>
            <w:tcW w:w="0" w:type="auto"/>
            <w:vAlign w:val="bottom"/>
          </w:tcPr>
          <w:p w:rsidR="00CD6A25" w:rsidRDefault="00000000">
            <w:pPr>
              <w:spacing w:beforeAutospacing="1" w:afterAutospacing="1"/>
              <w:jc w:val="right"/>
            </w:pPr>
            <w:r>
              <w:rPr>
                <w:color w:val="000000"/>
              </w:rPr>
              <w:t>8,833,440.00</w:t>
            </w:r>
          </w:p>
        </w:tc>
        <w:tc>
          <w:tcPr>
            <w:tcW w:w="0" w:type="auto"/>
          </w:tcPr>
          <w:p w:rsidR="00CD6A25" w:rsidRDefault="00000000">
            <w:pPr>
              <w:spacing w:beforeAutospacing="1" w:afterAutospacing="1"/>
            </w:pPr>
            <w:r>
              <w:rPr>
                <w:color w:val="000000"/>
              </w:rPr>
              <w:t xml:space="preserve">  </w:t>
            </w:r>
          </w:p>
        </w:tc>
      </w:tr>
      <w:tr w:rsidR="00CD6A25">
        <w:trPr>
          <w:cantSplit/>
        </w:trPr>
        <w:tc>
          <w:tcPr>
            <w:tcW w:w="0" w:type="auto"/>
          </w:tcPr>
          <w:p w:rsidR="00CD6A25" w:rsidRDefault="00000000">
            <w:pPr>
              <w:spacing w:beforeAutospacing="1" w:afterAutospacing="1"/>
            </w:pPr>
            <w:r>
              <w:rPr>
                <w:color w:val="000000"/>
              </w:rPr>
              <w:lastRenderedPageBreak/>
              <w:t>HOME</w:t>
            </w:r>
          </w:p>
        </w:tc>
        <w:tc>
          <w:tcPr>
            <w:tcW w:w="0" w:type="auto"/>
          </w:tcPr>
          <w:p w:rsidR="00CD6A25" w:rsidRDefault="00000000">
            <w:pPr>
              <w:spacing w:beforeAutospacing="1" w:afterAutospacing="1"/>
            </w:pPr>
            <w:r>
              <w:rPr>
                <w:color w:val="000000"/>
              </w:rPr>
              <w:t>public - federal</w:t>
            </w:r>
          </w:p>
        </w:tc>
        <w:tc>
          <w:tcPr>
            <w:tcW w:w="0" w:type="auto"/>
          </w:tcPr>
          <w:p w:rsidR="00CD6A25" w:rsidRDefault="00000000">
            <w:pPr>
              <w:spacing w:beforeAutospacing="1" w:afterAutospacing="1"/>
            </w:pPr>
            <w:r>
              <w:rPr>
                <w:color w:val="000000"/>
              </w:rPr>
              <w:t>Acquisition</w:t>
            </w:r>
            <w:r>
              <w:rPr>
                <w:color w:val="000000"/>
              </w:rPr>
              <w:br/>
              <w:t>Homebuyer assistance</w:t>
            </w:r>
            <w:r>
              <w:rPr>
                <w:color w:val="000000"/>
              </w:rPr>
              <w:br/>
              <w:t>Homeowner rehab</w:t>
            </w:r>
            <w:r>
              <w:rPr>
                <w:color w:val="000000"/>
              </w:rPr>
              <w:br/>
              <w:t>Multifamily rental new construction</w:t>
            </w:r>
            <w:r>
              <w:rPr>
                <w:color w:val="000000"/>
              </w:rPr>
              <w:br/>
              <w:t>Multifamily rental rehab</w:t>
            </w:r>
            <w:r>
              <w:rPr>
                <w:color w:val="000000"/>
              </w:rPr>
              <w:br/>
              <w:t>New construction for ownership</w:t>
            </w:r>
            <w:r>
              <w:rPr>
                <w:color w:val="000000"/>
              </w:rPr>
              <w:br/>
              <w:t>TBRA</w:t>
            </w:r>
          </w:p>
        </w:tc>
        <w:tc>
          <w:tcPr>
            <w:tcW w:w="0" w:type="auto"/>
            <w:vAlign w:val="bottom"/>
          </w:tcPr>
          <w:p w:rsidR="00CD6A25" w:rsidRDefault="00000000">
            <w:pPr>
              <w:spacing w:beforeAutospacing="1" w:afterAutospacing="1"/>
              <w:jc w:val="right"/>
            </w:pPr>
            <w:r>
              <w:rPr>
                <w:color w:val="000000"/>
              </w:rPr>
              <w:t>1,957,084.88</w:t>
            </w:r>
          </w:p>
        </w:tc>
        <w:tc>
          <w:tcPr>
            <w:tcW w:w="0" w:type="auto"/>
            <w:vAlign w:val="bottom"/>
          </w:tcPr>
          <w:p w:rsidR="00CD6A25" w:rsidRDefault="00000000">
            <w:pPr>
              <w:spacing w:beforeAutospacing="1" w:afterAutospacing="1"/>
              <w:jc w:val="right"/>
            </w:pPr>
            <w:r>
              <w:rPr>
                <w:color w:val="000000"/>
              </w:rPr>
              <w:t>100,000.00</w:t>
            </w:r>
          </w:p>
        </w:tc>
        <w:tc>
          <w:tcPr>
            <w:tcW w:w="0" w:type="auto"/>
            <w:vAlign w:val="bottom"/>
          </w:tcPr>
          <w:p w:rsidR="00CD6A25" w:rsidRDefault="00000000">
            <w:pPr>
              <w:spacing w:beforeAutospacing="1" w:afterAutospacing="1"/>
              <w:jc w:val="right"/>
            </w:pPr>
            <w:r>
              <w:rPr>
                <w:color w:val="000000"/>
              </w:rPr>
              <w:t>0.00</w:t>
            </w:r>
          </w:p>
        </w:tc>
        <w:tc>
          <w:tcPr>
            <w:tcW w:w="0" w:type="auto"/>
            <w:vAlign w:val="bottom"/>
          </w:tcPr>
          <w:p w:rsidR="00CD6A25" w:rsidRDefault="00000000">
            <w:pPr>
              <w:spacing w:beforeAutospacing="1" w:afterAutospacing="1"/>
              <w:jc w:val="right"/>
            </w:pPr>
            <w:r>
              <w:rPr>
                <w:color w:val="000000"/>
              </w:rPr>
              <w:t>2,057,084.88</w:t>
            </w:r>
          </w:p>
        </w:tc>
        <w:tc>
          <w:tcPr>
            <w:tcW w:w="0" w:type="auto"/>
            <w:vAlign w:val="bottom"/>
          </w:tcPr>
          <w:p w:rsidR="00CD6A25" w:rsidRDefault="00000000">
            <w:pPr>
              <w:spacing w:beforeAutospacing="1" w:afterAutospacing="1"/>
              <w:jc w:val="right"/>
            </w:pPr>
            <w:r>
              <w:rPr>
                <w:color w:val="000000"/>
              </w:rPr>
              <w:t>4,094,169.76</w:t>
            </w:r>
          </w:p>
        </w:tc>
        <w:tc>
          <w:tcPr>
            <w:tcW w:w="0" w:type="auto"/>
          </w:tcPr>
          <w:p w:rsidR="00CD6A25" w:rsidRDefault="00000000">
            <w:pPr>
              <w:spacing w:beforeAutospacing="1" w:afterAutospacing="1"/>
            </w:pPr>
            <w:r>
              <w:rPr>
                <w:color w:val="000000"/>
              </w:rPr>
              <w:t xml:space="preserve">  </w:t>
            </w:r>
          </w:p>
        </w:tc>
      </w:tr>
      <w:tr w:rsidR="00CD6A25">
        <w:trPr>
          <w:cantSplit/>
        </w:trPr>
        <w:tc>
          <w:tcPr>
            <w:tcW w:w="0" w:type="auto"/>
          </w:tcPr>
          <w:p w:rsidR="00CD6A25" w:rsidRDefault="00000000">
            <w:pPr>
              <w:spacing w:beforeAutospacing="1" w:afterAutospacing="1"/>
            </w:pPr>
            <w:r>
              <w:rPr>
                <w:color w:val="000000"/>
              </w:rPr>
              <w:t>ESG</w:t>
            </w:r>
          </w:p>
        </w:tc>
        <w:tc>
          <w:tcPr>
            <w:tcW w:w="0" w:type="auto"/>
          </w:tcPr>
          <w:p w:rsidR="00CD6A25" w:rsidRDefault="00000000">
            <w:pPr>
              <w:spacing w:beforeAutospacing="1" w:afterAutospacing="1"/>
            </w:pPr>
            <w:r>
              <w:rPr>
                <w:color w:val="000000"/>
              </w:rPr>
              <w:t>public - federal</w:t>
            </w:r>
          </w:p>
        </w:tc>
        <w:tc>
          <w:tcPr>
            <w:tcW w:w="0" w:type="auto"/>
          </w:tcPr>
          <w:p w:rsidR="00CD6A25" w:rsidRDefault="00000000">
            <w:pPr>
              <w:spacing w:beforeAutospacing="1" w:afterAutospacing="1"/>
            </w:pPr>
            <w:r>
              <w:rPr>
                <w:color w:val="000000"/>
              </w:rPr>
              <w:t>Conversion and rehab for transitional housing</w:t>
            </w:r>
            <w:r>
              <w:rPr>
                <w:color w:val="000000"/>
              </w:rPr>
              <w:br/>
              <w:t>Financial Assistance</w:t>
            </w:r>
            <w:r>
              <w:rPr>
                <w:color w:val="000000"/>
              </w:rPr>
              <w:br/>
              <w:t>Overnight shelter</w:t>
            </w:r>
            <w:r>
              <w:rPr>
                <w:color w:val="000000"/>
              </w:rPr>
              <w:br/>
              <w:t>Rapid re-housing (rental assistance)</w:t>
            </w:r>
            <w:r>
              <w:rPr>
                <w:color w:val="000000"/>
              </w:rPr>
              <w:br/>
              <w:t>Rental Assistance</w:t>
            </w:r>
            <w:r>
              <w:rPr>
                <w:color w:val="000000"/>
              </w:rPr>
              <w:br/>
              <w:t>Services</w:t>
            </w:r>
            <w:r>
              <w:rPr>
                <w:color w:val="000000"/>
              </w:rPr>
              <w:br/>
              <w:t>Transitional housing</w:t>
            </w:r>
          </w:p>
        </w:tc>
        <w:tc>
          <w:tcPr>
            <w:tcW w:w="0" w:type="auto"/>
            <w:vAlign w:val="bottom"/>
          </w:tcPr>
          <w:p w:rsidR="00CD6A25" w:rsidRDefault="00000000">
            <w:pPr>
              <w:spacing w:beforeAutospacing="1" w:afterAutospacing="1"/>
              <w:jc w:val="right"/>
            </w:pPr>
            <w:r>
              <w:rPr>
                <w:color w:val="000000"/>
              </w:rPr>
              <w:t>371,047.00</w:t>
            </w:r>
          </w:p>
        </w:tc>
        <w:tc>
          <w:tcPr>
            <w:tcW w:w="0" w:type="auto"/>
            <w:vAlign w:val="bottom"/>
          </w:tcPr>
          <w:p w:rsidR="00CD6A25" w:rsidRDefault="00000000">
            <w:pPr>
              <w:spacing w:beforeAutospacing="1" w:afterAutospacing="1"/>
              <w:jc w:val="right"/>
            </w:pPr>
            <w:r>
              <w:rPr>
                <w:color w:val="000000"/>
              </w:rPr>
              <w:t>0.00</w:t>
            </w:r>
          </w:p>
        </w:tc>
        <w:tc>
          <w:tcPr>
            <w:tcW w:w="0" w:type="auto"/>
            <w:vAlign w:val="bottom"/>
          </w:tcPr>
          <w:p w:rsidR="00CD6A25" w:rsidRDefault="00000000">
            <w:pPr>
              <w:spacing w:beforeAutospacing="1" w:afterAutospacing="1"/>
              <w:jc w:val="right"/>
            </w:pPr>
            <w:r>
              <w:rPr>
                <w:color w:val="000000"/>
              </w:rPr>
              <w:t>0.00</w:t>
            </w:r>
          </w:p>
        </w:tc>
        <w:tc>
          <w:tcPr>
            <w:tcW w:w="0" w:type="auto"/>
            <w:vAlign w:val="bottom"/>
          </w:tcPr>
          <w:p w:rsidR="00CD6A25" w:rsidRDefault="00000000">
            <w:pPr>
              <w:spacing w:beforeAutospacing="1" w:afterAutospacing="1"/>
              <w:jc w:val="right"/>
            </w:pPr>
            <w:r>
              <w:rPr>
                <w:color w:val="000000"/>
              </w:rPr>
              <w:t>371,047.00</w:t>
            </w:r>
          </w:p>
        </w:tc>
        <w:tc>
          <w:tcPr>
            <w:tcW w:w="0" w:type="auto"/>
            <w:vAlign w:val="bottom"/>
          </w:tcPr>
          <w:p w:rsidR="00CD6A25" w:rsidRDefault="00000000">
            <w:pPr>
              <w:spacing w:beforeAutospacing="1" w:afterAutospacing="1"/>
              <w:jc w:val="right"/>
            </w:pPr>
            <w:r>
              <w:rPr>
                <w:color w:val="000000"/>
              </w:rPr>
              <w:t>742,094.00</w:t>
            </w:r>
          </w:p>
        </w:tc>
        <w:tc>
          <w:tcPr>
            <w:tcW w:w="0" w:type="auto"/>
          </w:tcPr>
          <w:p w:rsidR="00CD6A25" w:rsidRDefault="00000000">
            <w:pPr>
              <w:spacing w:beforeAutospacing="1" w:afterAutospacing="1"/>
            </w:pPr>
            <w:r>
              <w:rPr>
                <w:color w:val="000000"/>
              </w:rPr>
              <w:t xml:space="preserve">  </w:t>
            </w:r>
          </w:p>
        </w:tc>
      </w:tr>
      <w:tr w:rsidR="00CD6A25">
        <w:trPr>
          <w:cantSplit/>
        </w:trPr>
        <w:tc>
          <w:tcPr>
            <w:tcW w:w="0" w:type="auto"/>
          </w:tcPr>
          <w:p w:rsidR="00CD6A25" w:rsidRDefault="00000000">
            <w:pPr>
              <w:spacing w:beforeAutospacing="1" w:afterAutospacing="1"/>
            </w:pPr>
            <w:r>
              <w:rPr>
                <w:color w:val="000000"/>
              </w:rPr>
              <w:t>Other</w:t>
            </w:r>
          </w:p>
        </w:tc>
        <w:tc>
          <w:tcPr>
            <w:tcW w:w="0" w:type="auto"/>
          </w:tcPr>
          <w:p w:rsidR="00CD6A25" w:rsidRDefault="00000000">
            <w:pPr>
              <w:spacing w:beforeAutospacing="1" w:afterAutospacing="1"/>
            </w:pPr>
            <w:r>
              <w:rPr>
                <w:color w:val="000000"/>
              </w:rPr>
              <w:t>public - local</w:t>
            </w:r>
          </w:p>
        </w:tc>
        <w:tc>
          <w:tcPr>
            <w:tcW w:w="0" w:type="auto"/>
          </w:tcPr>
          <w:p w:rsidR="00CD6A25" w:rsidRDefault="00000000">
            <w:pPr>
              <w:spacing w:beforeAutospacing="1" w:afterAutospacing="1"/>
            </w:pPr>
            <w:r>
              <w:rPr>
                <w:color w:val="000000"/>
              </w:rPr>
              <w:t>Acquisition</w:t>
            </w:r>
            <w:r>
              <w:rPr>
                <w:color w:val="000000"/>
              </w:rPr>
              <w:br/>
              <w:t>Homebuyer assistance</w:t>
            </w:r>
            <w:r>
              <w:rPr>
                <w:color w:val="000000"/>
              </w:rPr>
              <w:br/>
              <w:t>Multifamily rental new construction</w:t>
            </w:r>
            <w:r>
              <w:rPr>
                <w:color w:val="000000"/>
              </w:rPr>
              <w:br/>
              <w:t>New construction for ownership</w:t>
            </w:r>
          </w:p>
        </w:tc>
        <w:tc>
          <w:tcPr>
            <w:tcW w:w="0" w:type="auto"/>
            <w:vAlign w:val="bottom"/>
          </w:tcPr>
          <w:p w:rsidR="00CD6A25" w:rsidRDefault="00000000">
            <w:pPr>
              <w:spacing w:beforeAutospacing="1" w:afterAutospacing="1"/>
              <w:jc w:val="right"/>
            </w:pPr>
            <w:r>
              <w:rPr>
                <w:color w:val="000000"/>
              </w:rPr>
              <w:t>0.00</w:t>
            </w:r>
          </w:p>
        </w:tc>
        <w:tc>
          <w:tcPr>
            <w:tcW w:w="0" w:type="auto"/>
            <w:vAlign w:val="bottom"/>
          </w:tcPr>
          <w:p w:rsidR="00CD6A25" w:rsidRDefault="00000000">
            <w:pPr>
              <w:spacing w:beforeAutospacing="1" w:afterAutospacing="1"/>
              <w:jc w:val="right"/>
            </w:pPr>
            <w:r>
              <w:rPr>
                <w:color w:val="000000"/>
              </w:rPr>
              <w:t>0.00</w:t>
            </w:r>
          </w:p>
        </w:tc>
        <w:tc>
          <w:tcPr>
            <w:tcW w:w="0" w:type="auto"/>
            <w:vAlign w:val="bottom"/>
          </w:tcPr>
          <w:p w:rsidR="00CD6A25" w:rsidRDefault="00000000">
            <w:pPr>
              <w:spacing w:beforeAutospacing="1" w:afterAutospacing="1"/>
              <w:jc w:val="right"/>
            </w:pPr>
            <w:r>
              <w:rPr>
                <w:color w:val="000000"/>
              </w:rPr>
              <w:t>0.00</w:t>
            </w:r>
          </w:p>
        </w:tc>
        <w:tc>
          <w:tcPr>
            <w:tcW w:w="0" w:type="auto"/>
            <w:vAlign w:val="bottom"/>
          </w:tcPr>
          <w:p w:rsidR="00CD6A25" w:rsidRDefault="00000000">
            <w:pPr>
              <w:spacing w:beforeAutospacing="1" w:afterAutospacing="1"/>
              <w:jc w:val="right"/>
            </w:pPr>
            <w:r>
              <w:rPr>
                <w:color w:val="000000"/>
              </w:rPr>
              <w:t>0.00</w:t>
            </w:r>
          </w:p>
        </w:tc>
        <w:tc>
          <w:tcPr>
            <w:tcW w:w="0" w:type="auto"/>
            <w:vAlign w:val="bottom"/>
          </w:tcPr>
          <w:p w:rsidR="00CD6A25" w:rsidRDefault="00000000">
            <w:pPr>
              <w:spacing w:beforeAutospacing="1" w:afterAutospacing="1"/>
              <w:jc w:val="right"/>
            </w:pPr>
            <w:r>
              <w:rPr>
                <w:color w:val="000000"/>
              </w:rPr>
              <w:t>0.00</w:t>
            </w:r>
          </w:p>
        </w:tc>
        <w:tc>
          <w:tcPr>
            <w:tcW w:w="0" w:type="auto"/>
          </w:tcPr>
          <w:p w:rsidR="00CD6A25" w:rsidRDefault="00000000">
            <w:pPr>
              <w:spacing w:beforeAutospacing="1" w:afterAutospacing="1"/>
            </w:pPr>
            <w:r>
              <w:rPr>
                <w:color w:val="000000"/>
              </w:rPr>
              <w:t xml:space="preserve">  </w:t>
            </w:r>
          </w:p>
        </w:tc>
      </w:tr>
      <w:tr w:rsidR="00CD6A25">
        <w:trPr>
          <w:cantSplit/>
        </w:trPr>
        <w:tc>
          <w:tcPr>
            <w:tcW w:w="0" w:type="auto"/>
          </w:tcPr>
          <w:p w:rsidR="00CD6A25" w:rsidRDefault="00000000">
            <w:pPr>
              <w:spacing w:beforeAutospacing="1" w:afterAutospacing="1"/>
            </w:pPr>
            <w:r>
              <w:rPr>
                <w:color w:val="000000"/>
              </w:rPr>
              <w:lastRenderedPageBreak/>
              <w:t>Other</w:t>
            </w:r>
          </w:p>
        </w:tc>
        <w:tc>
          <w:tcPr>
            <w:tcW w:w="0" w:type="auto"/>
          </w:tcPr>
          <w:p w:rsidR="00CD6A25" w:rsidRDefault="00000000">
            <w:pPr>
              <w:spacing w:beforeAutospacing="1" w:afterAutospacing="1"/>
            </w:pPr>
            <w:r>
              <w:rPr>
                <w:color w:val="000000"/>
              </w:rPr>
              <w:t>public - local</w:t>
            </w:r>
          </w:p>
        </w:tc>
        <w:tc>
          <w:tcPr>
            <w:tcW w:w="0" w:type="auto"/>
          </w:tcPr>
          <w:p w:rsidR="00CD6A25" w:rsidRDefault="00000000">
            <w:pPr>
              <w:spacing w:beforeAutospacing="1" w:afterAutospacing="1"/>
            </w:pPr>
            <w:r>
              <w:rPr>
                <w:color w:val="000000"/>
              </w:rPr>
              <w:t>Admin and Planning</w:t>
            </w:r>
            <w:r>
              <w:rPr>
                <w:color w:val="000000"/>
              </w:rPr>
              <w:br/>
              <w:t>Multifamily rental new construction</w:t>
            </w:r>
            <w:r>
              <w:rPr>
                <w:color w:val="000000"/>
              </w:rPr>
              <w:br/>
              <w:t>Multifamily rental rehab</w:t>
            </w:r>
            <w:r>
              <w:rPr>
                <w:color w:val="000000"/>
              </w:rPr>
              <w:br/>
              <w:t>Overnight shelter</w:t>
            </w:r>
            <w:r>
              <w:rPr>
                <w:color w:val="000000"/>
              </w:rPr>
              <w:br/>
              <w:t>Public Services</w:t>
            </w:r>
            <w:r>
              <w:rPr>
                <w:color w:val="000000"/>
              </w:rPr>
              <w:br/>
              <w:t>Rapid re-housing (rental assistance)</w:t>
            </w:r>
            <w:r>
              <w:rPr>
                <w:color w:val="000000"/>
              </w:rPr>
              <w:br/>
              <w:t>Rental Assistance</w:t>
            </w:r>
            <w:r>
              <w:rPr>
                <w:color w:val="000000"/>
              </w:rPr>
              <w:br/>
              <w:t>TBRA</w:t>
            </w:r>
          </w:p>
        </w:tc>
        <w:tc>
          <w:tcPr>
            <w:tcW w:w="0" w:type="auto"/>
            <w:vAlign w:val="bottom"/>
          </w:tcPr>
          <w:p w:rsidR="00CD6A25" w:rsidRDefault="00000000">
            <w:pPr>
              <w:spacing w:beforeAutospacing="1" w:afterAutospacing="1"/>
              <w:jc w:val="right"/>
            </w:pPr>
            <w:r>
              <w:rPr>
                <w:color w:val="000000"/>
              </w:rPr>
              <w:t>1,115,718.00</w:t>
            </w:r>
          </w:p>
        </w:tc>
        <w:tc>
          <w:tcPr>
            <w:tcW w:w="0" w:type="auto"/>
            <w:vAlign w:val="bottom"/>
          </w:tcPr>
          <w:p w:rsidR="00CD6A25" w:rsidRDefault="00000000">
            <w:pPr>
              <w:spacing w:beforeAutospacing="1" w:afterAutospacing="1"/>
              <w:jc w:val="right"/>
            </w:pPr>
            <w:r>
              <w:rPr>
                <w:color w:val="000000"/>
              </w:rPr>
              <w:t>0.00</w:t>
            </w:r>
          </w:p>
        </w:tc>
        <w:tc>
          <w:tcPr>
            <w:tcW w:w="0" w:type="auto"/>
            <w:vAlign w:val="bottom"/>
          </w:tcPr>
          <w:p w:rsidR="00CD6A25" w:rsidRDefault="00000000">
            <w:pPr>
              <w:spacing w:beforeAutospacing="1" w:afterAutospacing="1"/>
              <w:jc w:val="right"/>
            </w:pPr>
            <w:r>
              <w:rPr>
                <w:color w:val="000000"/>
              </w:rPr>
              <w:t>0.00</w:t>
            </w:r>
          </w:p>
        </w:tc>
        <w:tc>
          <w:tcPr>
            <w:tcW w:w="0" w:type="auto"/>
            <w:vAlign w:val="bottom"/>
          </w:tcPr>
          <w:p w:rsidR="00CD6A25" w:rsidRDefault="00000000">
            <w:pPr>
              <w:spacing w:beforeAutospacing="1" w:afterAutospacing="1"/>
              <w:jc w:val="right"/>
            </w:pPr>
            <w:r>
              <w:rPr>
                <w:color w:val="000000"/>
              </w:rPr>
              <w:t>1,115,718.00</w:t>
            </w:r>
          </w:p>
        </w:tc>
        <w:tc>
          <w:tcPr>
            <w:tcW w:w="0" w:type="auto"/>
            <w:vAlign w:val="bottom"/>
          </w:tcPr>
          <w:p w:rsidR="00CD6A25" w:rsidRDefault="00000000">
            <w:pPr>
              <w:spacing w:beforeAutospacing="1" w:afterAutospacing="1"/>
              <w:jc w:val="right"/>
            </w:pPr>
            <w:r>
              <w:rPr>
                <w:color w:val="000000"/>
              </w:rPr>
              <w:t>2,231,436.00</w:t>
            </w:r>
          </w:p>
        </w:tc>
        <w:tc>
          <w:tcPr>
            <w:tcW w:w="0" w:type="auto"/>
          </w:tcPr>
          <w:p w:rsidR="00CD6A25" w:rsidRDefault="00000000">
            <w:pPr>
              <w:spacing w:beforeAutospacing="1" w:afterAutospacing="1"/>
            </w:pPr>
            <w:r>
              <w:rPr>
                <w:color w:val="000000"/>
              </w:rPr>
              <w:t xml:space="preserve">  </w:t>
            </w:r>
          </w:p>
        </w:tc>
      </w:tr>
    </w:tbl>
    <w:p w:rsidR="00CD6A25" w:rsidRDefault="0000000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Expected Resources – Priority Table</w:t>
      </w:r>
    </w:p>
    <w:p w:rsidR="00CD6A25" w:rsidRDefault="00CD6A25">
      <w:pPr>
        <w:spacing w:after="0" w:line="240" w:lineRule="auto"/>
        <w:rPr>
          <w:b/>
          <w:sz w:val="24"/>
          <w:szCs w:val="24"/>
        </w:rPr>
      </w:pPr>
    </w:p>
    <w:p w:rsidR="00CD6A25" w:rsidRDefault="00000000">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rsidR="00CD6A25" w:rsidRDefault="00000000">
      <w:pPr>
        <w:widowControl w:val="0"/>
        <w:spacing w:beforeAutospacing="1" w:afterAutospacing="1"/>
        <w:rPr>
          <w:szCs w:val="24"/>
        </w:rPr>
      </w:pPr>
      <w:r>
        <w:t>Depending on the financing structure of a given project, it may be advantageous for the City to use CDBG and HOME funds to leverage appropriate state, local and private resources, including but not limited to those listed below.</w:t>
      </w:r>
    </w:p>
    <w:p w:rsidR="00CD6A25" w:rsidRDefault="00000000">
      <w:pPr>
        <w:widowControl w:val="0"/>
        <w:spacing w:beforeAutospacing="1" w:afterAutospacing="1"/>
        <w:rPr>
          <w:szCs w:val="24"/>
        </w:rPr>
      </w:pPr>
      <w:r>
        <w:rPr>
          <w:b/>
        </w:rPr>
        <w:t>State Resources</w:t>
      </w:r>
    </w:p>
    <w:p w:rsidR="00CD6A25" w:rsidRDefault="00000000">
      <w:pPr>
        <w:widowControl w:val="0"/>
        <w:numPr>
          <w:ilvl w:val="0"/>
          <w:numId w:val="3"/>
        </w:numPr>
        <w:spacing w:beforeAutospacing="1" w:afterAutospacing="1"/>
        <w:rPr>
          <w:szCs w:val="24"/>
        </w:rPr>
      </w:pPr>
      <w:r>
        <w:t>State of New Mexico Low-Income Housing Tax Credit Program</w:t>
      </w:r>
    </w:p>
    <w:p w:rsidR="00CD6A25" w:rsidRDefault="00000000">
      <w:pPr>
        <w:widowControl w:val="0"/>
        <w:numPr>
          <w:ilvl w:val="0"/>
          <w:numId w:val="3"/>
        </w:numPr>
        <w:spacing w:beforeAutospacing="1" w:afterAutospacing="1"/>
        <w:rPr>
          <w:szCs w:val="24"/>
        </w:rPr>
      </w:pPr>
      <w:r>
        <w:t>Multifamily Housing Program (MHP)</w:t>
      </w:r>
    </w:p>
    <w:p w:rsidR="00CD6A25" w:rsidRDefault="00000000">
      <w:pPr>
        <w:widowControl w:val="0"/>
        <w:numPr>
          <w:ilvl w:val="0"/>
          <w:numId w:val="3"/>
        </w:numPr>
        <w:spacing w:beforeAutospacing="1" w:afterAutospacing="1"/>
        <w:rPr>
          <w:szCs w:val="24"/>
        </w:rPr>
      </w:pPr>
      <w:r>
        <w:t>Mental Health Service Act (MHSA) Funding</w:t>
      </w:r>
    </w:p>
    <w:p w:rsidR="00CD6A25" w:rsidRDefault="00000000">
      <w:pPr>
        <w:widowControl w:val="0"/>
        <w:spacing w:beforeAutospacing="1" w:afterAutospacing="1"/>
        <w:rPr>
          <w:szCs w:val="24"/>
        </w:rPr>
      </w:pPr>
      <w:r>
        <w:rPr>
          <w:b/>
        </w:rPr>
        <w:t>Local Resources</w:t>
      </w:r>
    </w:p>
    <w:p w:rsidR="00CD6A25" w:rsidRDefault="00000000">
      <w:pPr>
        <w:widowControl w:val="0"/>
        <w:spacing w:beforeAutospacing="1" w:afterAutospacing="1"/>
        <w:rPr>
          <w:szCs w:val="24"/>
        </w:rPr>
      </w:pPr>
      <w:r>
        <w:lastRenderedPageBreak/>
        <w:t xml:space="preserve">The City’s Workforce Housing Trust Fund (WHTF) is a source of revenue used to support the preservation and production of affordable housing. These funds can be leveraged with additional resources, including HOME and CDBG, and have a long-term affordability requirement. The WHTF is funded by a biannual voter approved City bond. As described in § 14-9-4 Creation </w:t>
      </w:r>
      <w:proofErr w:type="gramStart"/>
      <w:r>
        <w:t>And</w:t>
      </w:r>
      <w:proofErr w:type="gramEnd"/>
      <w:r>
        <w:t xml:space="preserve"> Administration Of The Workforce Housing Trust Fund, “Projects receiving funding or land under the Workforce Housing Opportunity act shall leverage non-city funds by at least a 4:1 ratio (non-city to city resources). The Plan may make exception to this ratio for certain hard to develop projects to be defined. Federal and state funds flowing through the city are not considered city funds for purposes of this requirement.” For these purposes, “hard to develop projects” include those projects where:</w:t>
      </w:r>
    </w:p>
    <w:p w:rsidR="00CD6A25" w:rsidRDefault="00000000">
      <w:pPr>
        <w:widowControl w:val="0"/>
        <w:numPr>
          <w:ilvl w:val="0"/>
          <w:numId w:val="3"/>
        </w:numPr>
        <w:spacing w:beforeAutospacing="1" w:afterAutospacing="1"/>
        <w:rPr>
          <w:szCs w:val="24"/>
        </w:rPr>
      </w:pPr>
      <w:r>
        <w:t>At least a portion serves vulnerable or extremely low-income populations.</w:t>
      </w:r>
    </w:p>
    <w:p w:rsidR="00CD6A25" w:rsidRDefault="00000000">
      <w:pPr>
        <w:widowControl w:val="0"/>
        <w:numPr>
          <w:ilvl w:val="0"/>
          <w:numId w:val="3"/>
        </w:numPr>
        <w:spacing w:beforeAutospacing="1" w:afterAutospacing="1"/>
        <w:rPr>
          <w:szCs w:val="24"/>
        </w:rPr>
      </w:pPr>
      <w:r>
        <w:t>The developer is able to adequately justify to the City that the physical condition, shape or location of the property make the property difficult to develop.</w:t>
      </w:r>
    </w:p>
    <w:p w:rsidR="00CD6A25" w:rsidRDefault="00000000">
      <w:pPr>
        <w:widowControl w:val="0"/>
        <w:numPr>
          <w:ilvl w:val="0"/>
          <w:numId w:val="3"/>
        </w:numPr>
        <w:spacing w:beforeAutospacing="1" w:afterAutospacing="1"/>
        <w:rPr>
          <w:szCs w:val="24"/>
        </w:rPr>
      </w:pPr>
      <w:r>
        <w:t>The project is being developed on land contributed by the City of Albuquerque as the City aims to only acquire land for affordable housing development if the land is difficult to develop.</w:t>
      </w:r>
    </w:p>
    <w:p w:rsidR="00CD6A25" w:rsidRDefault="00000000">
      <w:pPr>
        <w:widowControl w:val="0"/>
        <w:spacing w:beforeAutospacing="1" w:afterAutospacing="1"/>
        <w:rPr>
          <w:szCs w:val="24"/>
        </w:rPr>
      </w:pPr>
      <w:r>
        <w:t>Mayor Tim Keller’s “Albuquerque Housing Forward” initiative was implemented to close the affordable housing gap in the city. As part of this plan, the City Council appropriated $20 million as part of the Gross Receipts Tax Bond to provide more and/or preserve affordable housing. To supplement this bond funding, the City appropriated an additional $3 million from its Fiscal Year 2024 ‘mid-year clean-up’ to be used in the Housing Forward Fund. Some of the strategies that this funding can be used for include the following:</w:t>
      </w:r>
    </w:p>
    <w:p w:rsidR="00CD6A25" w:rsidRDefault="00000000">
      <w:pPr>
        <w:widowControl w:val="0"/>
        <w:numPr>
          <w:ilvl w:val="0"/>
          <w:numId w:val="3"/>
        </w:numPr>
        <w:spacing w:beforeAutospacing="1" w:afterAutospacing="1"/>
        <w:rPr>
          <w:szCs w:val="24"/>
        </w:rPr>
      </w:pPr>
      <w:r>
        <w:t>New construction of affordable housing</w:t>
      </w:r>
    </w:p>
    <w:p w:rsidR="00CD6A25" w:rsidRDefault="00000000">
      <w:pPr>
        <w:widowControl w:val="0"/>
        <w:numPr>
          <w:ilvl w:val="0"/>
          <w:numId w:val="3"/>
        </w:numPr>
        <w:spacing w:beforeAutospacing="1" w:afterAutospacing="1"/>
        <w:rPr>
          <w:szCs w:val="24"/>
        </w:rPr>
      </w:pPr>
      <w:r>
        <w:t>Motel/hotel conversions to supportive/affordable housing</w:t>
      </w:r>
    </w:p>
    <w:p w:rsidR="00CD6A25" w:rsidRDefault="00000000">
      <w:pPr>
        <w:widowControl w:val="0"/>
        <w:numPr>
          <w:ilvl w:val="0"/>
          <w:numId w:val="3"/>
        </w:numPr>
        <w:spacing w:beforeAutospacing="1" w:afterAutospacing="1"/>
        <w:rPr>
          <w:szCs w:val="24"/>
        </w:rPr>
      </w:pPr>
      <w:r>
        <w:t>Commercial/office building conversions to housing</w:t>
      </w:r>
    </w:p>
    <w:p w:rsidR="00CD6A25" w:rsidRDefault="00000000">
      <w:pPr>
        <w:widowControl w:val="0"/>
        <w:numPr>
          <w:ilvl w:val="0"/>
          <w:numId w:val="3"/>
        </w:numPr>
        <w:spacing w:beforeAutospacing="1" w:afterAutospacing="1"/>
        <w:rPr>
          <w:szCs w:val="24"/>
        </w:rPr>
      </w:pPr>
      <w:r>
        <w:t>Expanding nuisance abatement laws</w:t>
      </w:r>
    </w:p>
    <w:p w:rsidR="00CD6A25" w:rsidRDefault="00000000">
      <w:pPr>
        <w:widowControl w:val="0"/>
        <w:numPr>
          <w:ilvl w:val="0"/>
          <w:numId w:val="3"/>
        </w:numPr>
        <w:spacing w:beforeAutospacing="1" w:afterAutospacing="1"/>
        <w:rPr>
          <w:szCs w:val="24"/>
        </w:rPr>
      </w:pPr>
      <w:r>
        <w:t>Changing zoning codes to allow for more density and housing type options</w:t>
      </w:r>
    </w:p>
    <w:p w:rsidR="00CD6A25" w:rsidRDefault="00000000">
      <w:pPr>
        <w:widowControl w:val="0"/>
        <w:spacing w:beforeAutospacing="1" w:afterAutospacing="1"/>
        <w:rPr>
          <w:szCs w:val="24"/>
        </w:rPr>
      </w:pPr>
      <w:r>
        <w:rPr>
          <w:b/>
        </w:rPr>
        <w:t>Private Resources</w:t>
      </w:r>
    </w:p>
    <w:p w:rsidR="00CD6A25" w:rsidRDefault="00000000">
      <w:pPr>
        <w:widowControl w:val="0"/>
        <w:numPr>
          <w:ilvl w:val="0"/>
          <w:numId w:val="3"/>
        </w:numPr>
        <w:spacing w:beforeAutospacing="1" w:afterAutospacing="1"/>
        <w:rPr>
          <w:szCs w:val="24"/>
        </w:rPr>
      </w:pPr>
      <w:r>
        <w:t>Federal Home Loan Bank Affordable Housing Program (AHP)</w:t>
      </w:r>
    </w:p>
    <w:p w:rsidR="00CD6A25" w:rsidRDefault="00000000">
      <w:pPr>
        <w:widowControl w:val="0"/>
        <w:numPr>
          <w:ilvl w:val="0"/>
          <w:numId w:val="3"/>
        </w:numPr>
        <w:spacing w:beforeAutospacing="1" w:afterAutospacing="1"/>
        <w:rPr>
          <w:szCs w:val="24"/>
        </w:rPr>
      </w:pPr>
      <w:r>
        <w:t>Community Reinvestment Act Programs</w:t>
      </w:r>
    </w:p>
    <w:p w:rsidR="00CD6A25" w:rsidRDefault="00000000">
      <w:pPr>
        <w:widowControl w:val="0"/>
        <w:numPr>
          <w:ilvl w:val="0"/>
          <w:numId w:val="3"/>
        </w:numPr>
        <w:spacing w:beforeAutospacing="1" w:afterAutospacing="1"/>
        <w:rPr>
          <w:szCs w:val="24"/>
        </w:rPr>
      </w:pPr>
      <w:r>
        <w:lastRenderedPageBreak/>
        <w:t>Private Developer Contributions</w:t>
      </w:r>
    </w:p>
    <w:p w:rsidR="00CD6A25" w:rsidRDefault="00000000">
      <w:pPr>
        <w:widowControl w:val="0"/>
        <w:spacing w:beforeAutospacing="1" w:afterAutospacing="1"/>
        <w:rPr>
          <w:szCs w:val="24"/>
        </w:rPr>
      </w:pPr>
      <w:r>
        <w:rPr>
          <w:b/>
        </w:rPr>
        <w:t>Matching Requirements</w:t>
      </w:r>
    </w:p>
    <w:p w:rsidR="00CD6A25" w:rsidRDefault="00000000">
      <w:pPr>
        <w:widowControl w:val="0"/>
        <w:spacing w:beforeAutospacing="1" w:afterAutospacing="1"/>
        <w:rPr>
          <w:szCs w:val="24"/>
        </w:rPr>
      </w:pPr>
      <w:r>
        <w:t>The City provides a dollar-for-dollar cash match from the City’s General Fund for the ESG program. HOME funds are leveraged with other local and private non-federal resources in order to meet its HOME program 25 percent matching requirement. Eligible forms of HOME match are documented by the City and reported to HUD as part of the Consolidated Annual Performance and Evaluation Report (CAPER) each year.</w:t>
      </w:r>
    </w:p>
    <w:p w:rsidR="00CD6A25" w:rsidRDefault="00CD6A25">
      <w:pPr>
        <w:keepNext/>
        <w:widowControl w:val="0"/>
        <w:rPr>
          <w:b/>
          <w:sz w:val="24"/>
          <w:szCs w:val="24"/>
        </w:rPr>
        <w:sectPr w:rsidR="00CD6A25">
          <w:pgSz w:w="15840" w:h="12240" w:orient="landscape" w:code="1"/>
          <w:pgMar w:top="1440" w:right="1440" w:bottom="1440" w:left="1440" w:header="720" w:footer="720" w:gutter="0"/>
          <w:cols w:space="720"/>
          <w:docGrid w:linePitch="360"/>
        </w:sectPr>
      </w:pPr>
    </w:p>
    <w:p w:rsidR="00CD6A25" w:rsidRDefault="00000000">
      <w:pPr>
        <w:keepNext/>
        <w:widowControl w:val="0"/>
        <w:rPr>
          <w:b/>
          <w:sz w:val="24"/>
          <w:szCs w:val="24"/>
        </w:rPr>
      </w:pPr>
      <w:r>
        <w:rPr>
          <w:b/>
          <w:sz w:val="24"/>
          <w:szCs w:val="24"/>
        </w:rPr>
        <w:lastRenderedPageBreak/>
        <w:t xml:space="preserve">If appropriate, describe </w:t>
      </w:r>
      <w:proofErr w:type="spellStart"/>
      <w:r>
        <w:rPr>
          <w:b/>
          <w:sz w:val="24"/>
          <w:szCs w:val="24"/>
        </w:rPr>
        <w:t>publically</w:t>
      </w:r>
      <w:proofErr w:type="spellEnd"/>
      <w:r>
        <w:rPr>
          <w:b/>
          <w:sz w:val="24"/>
          <w:szCs w:val="24"/>
        </w:rPr>
        <w:t xml:space="preserve"> owned land or property located within the jurisdiction that may be used to address the needs identified in the plan</w:t>
      </w:r>
    </w:p>
    <w:p w:rsidR="00CD6A25" w:rsidRDefault="00000000">
      <w:pPr>
        <w:keepNext/>
        <w:widowControl w:val="0"/>
        <w:spacing w:beforeAutospacing="1" w:afterAutospacing="1"/>
        <w:rPr>
          <w:szCs w:val="24"/>
        </w:rPr>
      </w:pPr>
      <w:r>
        <w:t>Data compiled by the Planning Department indicates that the City owns vacant properties for the possible development of affordable housing located outside of floodplains and near principal arterial or major collector streets. Alternatively, these properties may be used for other civic purposes such as public facilities to benefit area residents.</w:t>
      </w:r>
    </w:p>
    <w:p w:rsidR="00CD6A25" w:rsidRDefault="00000000">
      <w:pPr>
        <w:keepNext/>
        <w:widowControl w:val="0"/>
        <w:spacing w:line="204" w:lineRule="auto"/>
        <w:rPr>
          <w:b/>
          <w:sz w:val="24"/>
          <w:szCs w:val="24"/>
        </w:rPr>
      </w:pPr>
      <w:r>
        <w:rPr>
          <w:b/>
          <w:sz w:val="24"/>
          <w:szCs w:val="24"/>
        </w:rPr>
        <w:t>Discussion</w:t>
      </w:r>
    </w:p>
    <w:p w:rsidR="00CD6A25" w:rsidRDefault="00000000">
      <w:pPr>
        <w:keepNext/>
        <w:widowControl w:val="0"/>
        <w:spacing w:beforeAutospacing="1" w:afterAutospacing="1"/>
        <w:rPr>
          <w:b/>
          <w:sz w:val="24"/>
          <w:szCs w:val="24"/>
        </w:rPr>
      </w:pPr>
      <w:r>
        <w:t xml:space="preserve">The expected resources listed will be utilized to achieve the overall goals of the Strategic Plan and subsequent Action Plans. Through the Program Year 2025 Action Plan, the third year of the current Consolidated Plan, for the CDBG, HOME and ESG programs, the City expects to have utilized approximately $13.2 </w:t>
      </w:r>
      <w:proofErr w:type="spellStart"/>
      <w:r>
        <w:t>million</w:t>
      </w:r>
      <w:proofErr w:type="spellEnd"/>
      <w:r>
        <w:t xml:space="preserve"> of CDBG, $7.2 </w:t>
      </w:r>
      <w:proofErr w:type="spellStart"/>
      <w:r>
        <w:t>million</w:t>
      </w:r>
      <w:proofErr w:type="spellEnd"/>
      <w:r>
        <w:t xml:space="preserve"> of HOME, $1.1 million of ESG, $4.7 million of General Fund, and $7.5 </w:t>
      </w:r>
      <w:proofErr w:type="spellStart"/>
      <w:r>
        <w:t>million</w:t>
      </w:r>
      <w:proofErr w:type="spellEnd"/>
      <w:r>
        <w:t xml:space="preserve"> of Workforce Housing Trust Funds. This covers the time period from July 1, 2023 through June 30, 2026.</w:t>
      </w:r>
    </w:p>
    <w:p w:rsidR="00CD6A25" w:rsidRDefault="00CD6A25">
      <w:pPr>
        <w:pStyle w:val="Heading1"/>
        <w:pageBreakBefore/>
        <w:jc w:val="center"/>
        <w:rPr>
          <w:rFonts w:ascii="Calibri" w:hAnsi="Calibri"/>
          <w:color w:val="auto"/>
          <w:sz w:val="32"/>
          <w:szCs w:val="32"/>
        </w:rPr>
        <w:sectPr w:rsidR="00CD6A25">
          <w:pgSz w:w="12240" w:h="15840" w:code="1"/>
          <w:pgMar w:top="1440" w:right="1440" w:bottom="1440" w:left="1440" w:header="720" w:footer="720" w:gutter="0"/>
          <w:cols w:space="720"/>
          <w:docGrid w:linePitch="360"/>
        </w:sectPr>
      </w:pPr>
    </w:p>
    <w:p w:rsidR="00CD6A25" w:rsidRDefault="00000000">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rsidR="00CD6A25" w:rsidRDefault="00CD6A25">
      <w:pPr>
        <w:rPr>
          <w:b/>
          <w:sz w:val="28"/>
          <w:szCs w:val="28"/>
        </w:rPr>
      </w:pPr>
    </w:p>
    <w:p w:rsidR="00CD6A25" w:rsidRDefault="00000000">
      <w:pPr>
        <w:rPr>
          <w:b/>
          <w:sz w:val="28"/>
          <w:szCs w:val="28"/>
        </w:rPr>
      </w:pPr>
      <w:r>
        <w:rPr>
          <w:b/>
          <w:sz w:val="28"/>
          <w:szCs w:val="28"/>
        </w:rPr>
        <w:t>AP-20 Annual Goals and Objectives</w:t>
      </w:r>
    </w:p>
    <w:p w:rsidR="00CD6A25" w:rsidRDefault="00000000">
      <w:pPr>
        <w:keepNext/>
        <w:widowControl w:val="0"/>
        <w:rPr>
          <w:b/>
          <w:sz w:val="24"/>
          <w:szCs w:val="24"/>
        </w:rPr>
      </w:pPr>
      <w:r>
        <w:rPr>
          <w:b/>
          <w:sz w:val="24"/>
          <w:szCs w:val="24"/>
        </w:rPr>
        <w:t>Goals Summary Information</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1948"/>
        <w:gridCol w:w="663"/>
        <w:gridCol w:w="663"/>
        <w:gridCol w:w="1679"/>
        <w:gridCol w:w="1321"/>
        <w:gridCol w:w="2068"/>
        <w:gridCol w:w="1632"/>
        <w:gridCol w:w="3040"/>
      </w:tblGrid>
      <w:tr w:rsidR="00CD6A25">
        <w:trPr>
          <w:cantSplit/>
          <w:trHeight w:val="486"/>
          <w:tblHeader/>
        </w:trPr>
        <w:tc>
          <w:tcPr>
            <w:tcW w:w="1808" w:type="dxa"/>
          </w:tcPr>
          <w:p w:rsidR="00CD6A25" w:rsidRDefault="00000000">
            <w:pPr>
              <w:keepNext/>
              <w:widowControl w:val="0"/>
              <w:spacing w:after="0" w:line="240" w:lineRule="auto"/>
              <w:jc w:val="center"/>
              <w:rPr>
                <w:b/>
                <w:sz w:val="20"/>
                <w:szCs w:val="20"/>
              </w:rPr>
            </w:pPr>
            <w:r>
              <w:rPr>
                <w:b/>
                <w:sz w:val="20"/>
                <w:szCs w:val="20"/>
              </w:rPr>
              <w:t>Sort Order</w:t>
            </w:r>
          </w:p>
        </w:tc>
        <w:tc>
          <w:tcPr>
            <w:tcW w:w="1809" w:type="dxa"/>
          </w:tcPr>
          <w:p w:rsidR="00CD6A25" w:rsidRDefault="00000000">
            <w:pPr>
              <w:keepNext/>
              <w:widowControl w:val="0"/>
              <w:spacing w:after="0" w:line="240" w:lineRule="auto"/>
              <w:jc w:val="center"/>
              <w:rPr>
                <w:b/>
                <w:sz w:val="20"/>
                <w:szCs w:val="20"/>
              </w:rPr>
            </w:pPr>
            <w:r>
              <w:rPr>
                <w:b/>
                <w:sz w:val="20"/>
                <w:szCs w:val="20"/>
              </w:rPr>
              <w:t>Goal Name</w:t>
            </w:r>
          </w:p>
        </w:tc>
        <w:tc>
          <w:tcPr>
            <w:tcW w:w="582" w:type="dxa"/>
          </w:tcPr>
          <w:p w:rsidR="00CD6A25" w:rsidRDefault="00000000">
            <w:pPr>
              <w:keepNext/>
              <w:widowControl w:val="0"/>
              <w:spacing w:after="0" w:line="240" w:lineRule="auto"/>
              <w:jc w:val="center"/>
              <w:rPr>
                <w:b/>
                <w:sz w:val="20"/>
                <w:szCs w:val="20"/>
              </w:rPr>
            </w:pPr>
            <w:r>
              <w:rPr>
                <w:b/>
                <w:sz w:val="20"/>
                <w:szCs w:val="20"/>
              </w:rPr>
              <w:t>Start Year</w:t>
            </w:r>
          </w:p>
        </w:tc>
        <w:tc>
          <w:tcPr>
            <w:tcW w:w="555" w:type="dxa"/>
          </w:tcPr>
          <w:p w:rsidR="00CD6A25" w:rsidRDefault="00000000">
            <w:pPr>
              <w:keepNext/>
              <w:widowControl w:val="0"/>
              <w:spacing w:after="0" w:line="240" w:lineRule="auto"/>
              <w:jc w:val="center"/>
              <w:rPr>
                <w:b/>
                <w:sz w:val="20"/>
                <w:szCs w:val="20"/>
              </w:rPr>
            </w:pPr>
            <w:r>
              <w:rPr>
                <w:b/>
                <w:sz w:val="20"/>
                <w:szCs w:val="20"/>
              </w:rPr>
              <w:t>End Year</w:t>
            </w:r>
          </w:p>
        </w:tc>
        <w:tc>
          <w:tcPr>
            <w:tcW w:w="1236" w:type="dxa"/>
          </w:tcPr>
          <w:p w:rsidR="00CD6A25" w:rsidRDefault="00000000">
            <w:pPr>
              <w:keepNext/>
              <w:widowControl w:val="0"/>
              <w:spacing w:after="0" w:line="240" w:lineRule="auto"/>
              <w:jc w:val="center"/>
              <w:rPr>
                <w:b/>
                <w:sz w:val="20"/>
                <w:szCs w:val="20"/>
              </w:rPr>
            </w:pPr>
            <w:r>
              <w:rPr>
                <w:b/>
                <w:sz w:val="20"/>
                <w:szCs w:val="20"/>
              </w:rPr>
              <w:t>Category</w:t>
            </w:r>
          </w:p>
        </w:tc>
        <w:tc>
          <w:tcPr>
            <w:tcW w:w="1287" w:type="dxa"/>
          </w:tcPr>
          <w:p w:rsidR="00CD6A25" w:rsidRDefault="00000000">
            <w:pPr>
              <w:keepNext/>
              <w:widowControl w:val="0"/>
              <w:spacing w:after="0" w:line="240" w:lineRule="auto"/>
              <w:jc w:val="center"/>
              <w:rPr>
                <w:b/>
                <w:sz w:val="20"/>
                <w:szCs w:val="20"/>
              </w:rPr>
            </w:pPr>
            <w:r>
              <w:rPr>
                <w:b/>
                <w:sz w:val="20"/>
                <w:szCs w:val="20"/>
              </w:rPr>
              <w:t>Geographic Area</w:t>
            </w:r>
          </w:p>
        </w:tc>
        <w:tc>
          <w:tcPr>
            <w:tcW w:w="1172" w:type="dxa"/>
          </w:tcPr>
          <w:p w:rsidR="00CD6A25" w:rsidRDefault="00000000">
            <w:pPr>
              <w:keepNext/>
              <w:widowControl w:val="0"/>
              <w:spacing w:after="0" w:line="240" w:lineRule="auto"/>
              <w:jc w:val="center"/>
              <w:rPr>
                <w:b/>
                <w:sz w:val="20"/>
                <w:szCs w:val="20"/>
              </w:rPr>
            </w:pPr>
            <w:r>
              <w:rPr>
                <w:b/>
                <w:sz w:val="20"/>
                <w:szCs w:val="20"/>
              </w:rPr>
              <w:t>Needs Addressed</w:t>
            </w:r>
          </w:p>
        </w:tc>
        <w:tc>
          <w:tcPr>
            <w:tcW w:w="2345" w:type="dxa"/>
          </w:tcPr>
          <w:p w:rsidR="00CD6A25" w:rsidRDefault="00000000">
            <w:pPr>
              <w:keepNext/>
              <w:widowControl w:val="0"/>
              <w:spacing w:after="0" w:line="240" w:lineRule="auto"/>
              <w:jc w:val="center"/>
              <w:rPr>
                <w:b/>
                <w:sz w:val="20"/>
                <w:szCs w:val="20"/>
              </w:rPr>
            </w:pPr>
            <w:r>
              <w:rPr>
                <w:b/>
                <w:sz w:val="20"/>
                <w:szCs w:val="20"/>
              </w:rPr>
              <w:t>Funding</w:t>
            </w:r>
          </w:p>
        </w:tc>
        <w:tc>
          <w:tcPr>
            <w:tcW w:w="3283" w:type="dxa"/>
          </w:tcPr>
          <w:p w:rsidR="00CD6A25" w:rsidRDefault="00000000">
            <w:pPr>
              <w:keepNext/>
              <w:widowControl w:val="0"/>
              <w:spacing w:after="0" w:line="240" w:lineRule="auto"/>
              <w:jc w:val="center"/>
              <w:rPr>
                <w:b/>
                <w:sz w:val="20"/>
                <w:szCs w:val="20"/>
              </w:rPr>
            </w:pPr>
            <w:r>
              <w:rPr>
                <w:b/>
                <w:sz w:val="20"/>
                <w:szCs w:val="20"/>
              </w:rPr>
              <w:t>Goal Outcome Indicator</w:t>
            </w:r>
          </w:p>
        </w:tc>
      </w:tr>
      <w:tr w:rsidR="00CD6A25">
        <w:trPr>
          <w:cantSplit/>
        </w:trPr>
        <w:tc>
          <w:tcPr>
            <w:tcW w:w="0" w:type="auto"/>
          </w:tcPr>
          <w:p w:rsidR="00CD6A25" w:rsidRDefault="00000000">
            <w:pPr>
              <w:spacing w:beforeAutospacing="1" w:afterAutospacing="1"/>
            </w:pPr>
            <w:r>
              <w:rPr>
                <w:b/>
                <w:color w:val="000000"/>
              </w:rPr>
              <w:t>1</w:t>
            </w:r>
          </w:p>
        </w:tc>
        <w:tc>
          <w:tcPr>
            <w:tcW w:w="0" w:type="auto"/>
          </w:tcPr>
          <w:p w:rsidR="00CD6A25" w:rsidRDefault="00000000">
            <w:pPr>
              <w:spacing w:beforeAutospacing="1" w:afterAutospacing="1"/>
            </w:pPr>
            <w:r>
              <w:rPr>
                <w:color w:val="000000"/>
              </w:rPr>
              <w:t>Affordable Housing Preservation</w:t>
            </w:r>
          </w:p>
        </w:tc>
        <w:tc>
          <w:tcPr>
            <w:tcW w:w="0" w:type="auto"/>
          </w:tcPr>
          <w:p w:rsidR="00CD6A25" w:rsidRDefault="00000000">
            <w:pPr>
              <w:spacing w:beforeAutospacing="1" w:afterAutospacing="1"/>
              <w:jc w:val="right"/>
            </w:pPr>
            <w:r>
              <w:rPr>
                <w:color w:val="000000"/>
              </w:rPr>
              <w:t>2023</w:t>
            </w:r>
          </w:p>
        </w:tc>
        <w:tc>
          <w:tcPr>
            <w:tcW w:w="0" w:type="auto"/>
          </w:tcPr>
          <w:p w:rsidR="00CD6A25" w:rsidRDefault="00000000">
            <w:pPr>
              <w:spacing w:beforeAutospacing="1" w:afterAutospacing="1"/>
              <w:jc w:val="right"/>
            </w:pPr>
            <w:r>
              <w:rPr>
                <w:color w:val="000000"/>
              </w:rPr>
              <w:t>2027</w:t>
            </w:r>
          </w:p>
        </w:tc>
        <w:tc>
          <w:tcPr>
            <w:tcW w:w="0" w:type="auto"/>
          </w:tcPr>
          <w:p w:rsidR="00CD6A25" w:rsidRDefault="00000000">
            <w:pPr>
              <w:spacing w:beforeAutospacing="1" w:afterAutospacing="1"/>
            </w:pPr>
            <w:r>
              <w:rPr>
                <w:color w:val="000000"/>
              </w:rPr>
              <w:t>Affordable Housing</w:t>
            </w:r>
            <w:r>
              <w:rPr>
                <w:color w:val="000000"/>
              </w:rPr>
              <w:br/>
              <w:t>Public Housing</w:t>
            </w:r>
            <w:r>
              <w:rPr>
                <w:color w:val="000000"/>
              </w:rPr>
              <w:br/>
              <w:t>Non-Homeless Special Needs</w:t>
            </w:r>
          </w:p>
        </w:tc>
        <w:tc>
          <w:tcPr>
            <w:tcW w:w="0" w:type="auto"/>
          </w:tcPr>
          <w:p w:rsidR="00CD6A25" w:rsidRDefault="00000000">
            <w:pPr>
              <w:spacing w:beforeAutospacing="1" w:afterAutospacing="1"/>
            </w:pPr>
            <w:r>
              <w:rPr>
                <w:color w:val="000000"/>
              </w:rPr>
              <w:t>Citywide Investment</w:t>
            </w:r>
          </w:p>
        </w:tc>
        <w:tc>
          <w:tcPr>
            <w:tcW w:w="0" w:type="auto"/>
          </w:tcPr>
          <w:p w:rsidR="00CD6A25" w:rsidRDefault="00000000">
            <w:pPr>
              <w:spacing w:beforeAutospacing="1" w:afterAutospacing="1"/>
            </w:pPr>
            <w:r>
              <w:rPr>
                <w:color w:val="000000"/>
              </w:rPr>
              <w:t>AFH Factor: Affordable Housing Preservation</w:t>
            </w:r>
            <w:r>
              <w:rPr>
                <w:color w:val="000000"/>
              </w:rPr>
              <w:br/>
              <w:t>AFH Factor: Affordable Homeownership Opportunities</w:t>
            </w:r>
            <w:r>
              <w:rPr>
                <w:color w:val="000000"/>
              </w:rPr>
              <w:br/>
              <w:t>AFH Factor: Homeless Prevention Programs</w:t>
            </w:r>
          </w:p>
        </w:tc>
        <w:tc>
          <w:tcPr>
            <w:tcW w:w="0" w:type="auto"/>
          </w:tcPr>
          <w:p w:rsidR="00CD6A25" w:rsidRDefault="00000000">
            <w:pPr>
              <w:spacing w:beforeAutospacing="1" w:afterAutospacing="1"/>
              <w:jc w:val="right"/>
            </w:pPr>
            <w:r>
              <w:rPr>
                <w:color w:val="000000"/>
              </w:rPr>
              <w:t>CDBG: $965,189.50</w:t>
            </w:r>
          </w:p>
        </w:tc>
        <w:tc>
          <w:tcPr>
            <w:tcW w:w="0" w:type="auto"/>
          </w:tcPr>
          <w:p w:rsidR="00CD6A25" w:rsidRDefault="00000000">
            <w:pPr>
              <w:spacing w:beforeAutospacing="1" w:afterAutospacing="1"/>
            </w:pPr>
            <w:r>
              <w:rPr>
                <w:color w:val="000000"/>
              </w:rPr>
              <w:t>Rental units rehabilitated: 388 Household Housing Unit</w:t>
            </w:r>
          </w:p>
        </w:tc>
      </w:tr>
      <w:tr w:rsidR="00CD6A25">
        <w:trPr>
          <w:cantSplit/>
        </w:trPr>
        <w:tc>
          <w:tcPr>
            <w:tcW w:w="0" w:type="auto"/>
          </w:tcPr>
          <w:p w:rsidR="00CD6A25" w:rsidRDefault="00000000">
            <w:pPr>
              <w:spacing w:beforeAutospacing="1" w:afterAutospacing="1"/>
            </w:pPr>
            <w:r>
              <w:rPr>
                <w:b/>
                <w:color w:val="000000"/>
              </w:rPr>
              <w:t>2</w:t>
            </w:r>
          </w:p>
        </w:tc>
        <w:tc>
          <w:tcPr>
            <w:tcW w:w="0" w:type="auto"/>
          </w:tcPr>
          <w:p w:rsidR="00CD6A25" w:rsidRDefault="00000000">
            <w:pPr>
              <w:spacing w:beforeAutospacing="1" w:afterAutospacing="1"/>
            </w:pPr>
            <w:r>
              <w:rPr>
                <w:color w:val="000000"/>
              </w:rPr>
              <w:t>Affordable Housing Development</w:t>
            </w:r>
          </w:p>
        </w:tc>
        <w:tc>
          <w:tcPr>
            <w:tcW w:w="0" w:type="auto"/>
          </w:tcPr>
          <w:p w:rsidR="00CD6A25" w:rsidRDefault="00000000">
            <w:pPr>
              <w:spacing w:beforeAutospacing="1" w:afterAutospacing="1"/>
              <w:jc w:val="right"/>
            </w:pPr>
            <w:r>
              <w:rPr>
                <w:color w:val="000000"/>
              </w:rPr>
              <w:t>2023</w:t>
            </w:r>
          </w:p>
        </w:tc>
        <w:tc>
          <w:tcPr>
            <w:tcW w:w="0" w:type="auto"/>
          </w:tcPr>
          <w:p w:rsidR="00CD6A25" w:rsidRDefault="00000000">
            <w:pPr>
              <w:spacing w:beforeAutospacing="1" w:afterAutospacing="1"/>
              <w:jc w:val="right"/>
            </w:pPr>
            <w:r>
              <w:rPr>
                <w:color w:val="000000"/>
              </w:rPr>
              <w:t>2027</w:t>
            </w:r>
          </w:p>
        </w:tc>
        <w:tc>
          <w:tcPr>
            <w:tcW w:w="0" w:type="auto"/>
          </w:tcPr>
          <w:p w:rsidR="00CD6A25" w:rsidRDefault="00000000">
            <w:pPr>
              <w:spacing w:beforeAutospacing="1" w:afterAutospacing="1"/>
            </w:pPr>
            <w:r>
              <w:rPr>
                <w:color w:val="000000"/>
              </w:rPr>
              <w:t>Affordable Housing</w:t>
            </w:r>
            <w:r>
              <w:rPr>
                <w:color w:val="000000"/>
              </w:rPr>
              <w:br/>
              <w:t>Public Housing</w:t>
            </w:r>
            <w:r>
              <w:rPr>
                <w:color w:val="000000"/>
              </w:rPr>
              <w:br/>
              <w:t>Non-Homeless Special Needs</w:t>
            </w:r>
          </w:p>
        </w:tc>
        <w:tc>
          <w:tcPr>
            <w:tcW w:w="0" w:type="auto"/>
          </w:tcPr>
          <w:p w:rsidR="00CD6A25" w:rsidRDefault="00000000">
            <w:pPr>
              <w:spacing w:beforeAutospacing="1" w:afterAutospacing="1"/>
            </w:pPr>
            <w:r>
              <w:rPr>
                <w:color w:val="000000"/>
              </w:rPr>
              <w:t>Citywide Investment</w:t>
            </w:r>
          </w:p>
        </w:tc>
        <w:tc>
          <w:tcPr>
            <w:tcW w:w="0" w:type="auto"/>
          </w:tcPr>
          <w:p w:rsidR="00CD6A25" w:rsidRDefault="00000000">
            <w:pPr>
              <w:spacing w:beforeAutospacing="1" w:afterAutospacing="1"/>
            </w:pPr>
            <w:r>
              <w:rPr>
                <w:color w:val="000000"/>
              </w:rPr>
              <w:t>AFH Factor: Affordable Housing Development</w:t>
            </w:r>
            <w:r>
              <w:rPr>
                <w:color w:val="000000"/>
              </w:rPr>
              <w:br/>
              <w:t>AFH Factor: Homeless Prevention Programs</w:t>
            </w:r>
          </w:p>
        </w:tc>
        <w:tc>
          <w:tcPr>
            <w:tcW w:w="0" w:type="auto"/>
          </w:tcPr>
          <w:p w:rsidR="00CD6A25" w:rsidRDefault="00000000">
            <w:pPr>
              <w:spacing w:beforeAutospacing="1" w:afterAutospacing="1"/>
              <w:jc w:val="right"/>
            </w:pPr>
            <w:r>
              <w:rPr>
                <w:color w:val="000000"/>
              </w:rPr>
              <w:t>HOME: $1,300,003.84</w:t>
            </w:r>
            <w:r>
              <w:rPr>
                <w:color w:val="000000"/>
              </w:rPr>
              <w:br/>
              <w:t>General Funds: $364,271.22</w:t>
            </w:r>
          </w:p>
        </w:tc>
        <w:tc>
          <w:tcPr>
            <w:tcW w:w="0" w:type="auto"/>
          </w:tcPr>
          <w:p w:rsidR="00CD6A25" w:rsidRDefault="00000000">
            <w:pPr>
              <w:spacing w:beforeAutospacing="1" w:afterAutospacing="1"/>
            </w:pPr>
            <w:r>
              <w:rPr>
                <w:color w:val="000000"/>
              </w:rPr>
              <w:t>Rental units constructed: 60 Household Housing Unit</w:t>
            </w:r>
          </w:p>
        </w:tc>
      </w:tr>
      <w:tr w:rsidR="00CD6A25">
        <w:trPr>
          <w:cantSplit/>
        </w:trPr>
        <w:tc>
          <w:tcPr>
            <w:tcW w:w="0" w:type="auto"/>
          </w:tcPr>
          <w:p w:rsidR="00CD6A25" w:rsidRDefault="00000000">
            <w:pPr>
              <w:spacing w:beforeAutospacing="1" w:afterAutospacing="1"/>
            </w:pPr>
            <w:r>
              <w:rPr>
                <w:b/>
                <w:color w:val="000000"/>
              </w:rPr>
              <w:lastRenderedPageBreak/>
              <w:t>3</w:t>
            </w:r>
          </w:p>
        </w:tc>
        <w:tc>
          <w:tcPr>
            <w:tcW w:w="0" w:type="auto"/>
          </w:tcPr>
          <w:p w:rsidR="00CD6A25" w:rsidRDefault="00000000">
            <w:pPr>
              <w:spacing w:beforeAutospacing="1" w:afterAutospacing="1"/>
            </w:pPr>
            <w:r>
              <w:rPr>
                <w:color w:val="000000"/>
              </w:rPr>
              <w:t>Affordable Homeownership Opportunities</w:t>
            </w:r>
          </w:p>
        </w:tc>
        <w:tc>
          <w:tcPr>
            <w:tcW w:w="0" w:type="auto"/>
          </w:tcPr>
          <w:p w:rsidR="00CD6A25" w:rsidRDefault="00000000">
            <w:pPr>
              <w:spacing w:beforeAutospacing="1" w:afterAutospacing="1"/>
              <w:jc w:val="right"/>
            </w:pPr>
            <w:r>
              <w:rPr>
                <w:color w:val="000000"/>
              </w:rPr>
              <w:t>2023</w:t>
            </w:r>
          </w:p>
        </w:tc>
        <w:tc>
          <w:tcPr>
            <w:tcW w:w="0" w:type="auto"/>
          </w:tcPr>
          <w:p w:rsidR="00CD6A25" w:rsidRDefault="00000000">
            <w:pPr>
              <w:spacing w:beforeAutospacing="1" w:afterAutospacing="1"/>
              <w:jc w:val="right"/>
            </w:pPr>
            <w:r>
              <w:rPr>
                <w:color w:val="000000"/>
              </w:rPr>
              <w:t>2027</w:t>
            </w:r>
          </w:p>
        </w:tc>
        <w:tc>
          <w:tcPr>
            <w:tcW w:w="0" w:type="auto"/>
          </w:tcPr>
          <w:p w:rsidR="00CD6A25" w:rsidRDefault="00000000">
            <w:pPr>
              <w:spacing w:beforeAutospacing="1" w:afterAutospacing="1"/>
            </w:pPr>
            <w:r>
              <w:rPr>
                <w:color w:val="000000"/>
              </w:rPr>
              <w:t>Affordable Housing</w:t>
            </w:r>
            <w:r>
              <w:rPr>
                <w:color w:val="000000"/>
              </w:rPr>
              <w:br/>
              <w:t>Public Housing</w:t>
            </w:r>
            <w:r>
              <w:rPr>
                <w:color w:val="000000"/>
              </w:rPr>
              <w:br/>
              <w:t>Non-Homeless Special Needs</w:t>
            </w:r>
          </w:p>
        </w:tc>
        <w:tc>
          <w:tcPr>
            <w:tcW w:w="0" w:type="auto"/>
          </w:tcPr>
          <w:p w:rsidR="00CD6A25" w:rsidRDefault="00000000">
            <w:pPr>
              <w:spacing w:beforeAutospacing="1" w:afterAutospacing="1"/>
            </w:pPr>
            <w:r>
              <w:rPr>
                <w:color w:val="000000"/>
              </w:rPr>
              <w:t>Citywide Investment</w:t>
            </w:r>
          </w:p>
        </w:tc>
        <w:tc>
          <w:tcPr>
            <w:tcW w:w="0" w:type="auto"/>
          </w:tcPr>
          <w:p w:rsidR="00CD6A25" w:rsidRDefault="00000000">
            <w:pPr>
              <w:spacing w:beforeAutospacing="1" w:afterAutospacing="1"/>
            </w:pPr>
            <w:r>
              <w:rPr>
                <w:color w:val="000000"/>
              </w:rPr>
              <w:t>AFH Factor: Affordable Homeownership Opportunities</w:t>
            </w:r>
          </w:p>
        </w:tc>
        <w:tc>
          <w:tcPr>
            <w:tcW w:w="0" w:type="auto"/>
          </w:tcPr>
          <w:p w:rsidR="00CD6A25" w:rsidRDefault="00000000">
            <w:pPr>
              <w:spacing w:beforeAutospacing="1" w:afterAutospacing="1"/>
              <w:jc w:val="right"/>
            </w:pPr>
            <w:r>
              <w:rPr>
                <w:color w:val="000000"/>
              </w:rPr>
              <w:t>CDBG: $1,300,000.00</w:t>
            </w:r>
            <w:r>
              <w:rPr>
                <w:color w:val="000000"/>
              </w:rPr>
              <w:br/>
              <w:t>HOME: $100,000.00</w:t>
            </w:r>
          </w:p>
        </w:tc>
        <w:tc>
          <w:tcPr>
            <w:tcW w:w="0" w:type="auto"/>
          </w:tcPr>
          <w:p w:rsidR="00CD6A25" w:rsidRDefault="00000000">
            <w:pPr>
              <w:spacing w:beforeAutospacing="1" w:afterAutospacing="1"/>
            </w:pPr>
            <w:r>
              <w:rPr>
                <w:color w:val="000000"/>
              </w:rPr>
              <w:t>Direct Financial Assistance to Homebuyers: 36 Households Assisted</w:t>
            </w:r>
          </w:p>
        </w:tc>
      </w:tr>
      <w:tr w:rsidR="00CD6A25">
        <w:trPr>
          <w:cantSplit/>
        </w:trPr>
        <w:tc>
          <w:tcPr>
            <w:tcW w:w="0" w:type="auto"/>
          </w:tcPr>
          <w:p w:rsidR="00CD6A25" w:rsidRDefault="00000000">
            <w:pPr>
              <w:spacing w:beforeAutospacing="1" w:afterAutospacing="1"/>
            </w:pPr>
            <w:r>
              <w:rPr>
                <w:b/>
                <w:color w:val="000000"/>
              </w:rPr>
              <w:t>4</w:t>
            </w:r>
          </w:p>
        </w:tc>
        <w:tc>
          <w:tcPr>
            <w:tcW w:w="0" w:type="auto"/>
          </w:tcPr>
          <w:p w:rsidR="00CD6A25" w:rsidRDefault="00000000">
            <w:pPr>
              <w:spacing w:beforeAutospacing="1" w:afterAutospacing="1"/>
            </w:pPr>
            <w:r>
              <w:rPr>
                <w:color w:val="000000"/>
              </w:rPr>
              <w:t>Homeless Prevention Programs</w:t>
            </w:r>
          </w:p>
        </w:tc>
        <w:tc>
          <w:tcPr>
            <w:tcW w:w="0" w:type="auto"/>
          </w:tcPr>
          <w:p w:rsidR="00CD6A25" w:rsidRDefault="00000000">
            <w:pPr>
              <w:spacing w:beforeAutospacing="1" w:afterAutospacing="1"/>
              <w:jc w:val="right"/>
            </w:pPr>
            <w:r>
              <w:rPr>
                <w:color w:val="000000"/>
              </w:rPr>
              <w:t>2023</w:t>
            </w:r>
          </w:p>
        </w:tc>
        <w:tc>
          <w:tcPr>
            <w:tcW w:w="0" w:type="auto"/>
          </w:tcPr>
          <w:p w:rsidR="00CD6A25" w:rsidRDefault="00000000">
            <w:pPr>
              <w:spacing w:beforeAutospacing="1" w:afterAutospacing="1"/>
              <w:jc w:val="right"/>
            </w:pPr>
            <w:r>
              <w:rPr>
                <w:color w:val="000000"/>
              </w:rPr>
              <w:t>2027</w:t>
            </w:r>
          </w:p>
        </w:tc>
        <w:tc>
          <w:tcPr>
            <w:tcW w:w="0" w:type="auto"/>
          </w:tcPr>
          <w:p w:rsidR="00CD6A25" w:rsidRDefault="00000000">
            <w:pPr>
              <w:spacing w:beforeAutospacing="1" w:afterAutospacing="1"/>
            </w:pPr>
            <w:r>
              <w:rPr>
                <w:color w:val="000000"/>
              </w:rPr>
              <w:t>Affordable Housing</w:t>
            </w:r>
            <w:r>
              <w:rPr>
                <w:color w:val="000000"/>
              </w:rPr>
              <w:br/>
              <w:t>Homeless</w:t>
            </w:r>
          </w:p>
        </w:tc>
        <w:tc>
          <w:tcPr>
            <w:tcW w:w="0" w:type="auto"/>
          </w:tcPr>
          <w:p w:rsidR="00CD6A25" w:rsidRDefault="00000000">
            <w:pPr>
              <w:spacing w:beforeAutospacing="1" w:afterAutospacing="1"/>
            </w:pPr>
            <w:r>
              <w:rPr>
                <w:color w:val="000000"/>
              </w:rPr>
              <w:t>Citywide Investment</w:t>
            </w:r>
          </w:p>
        </w:tc>
        <w:tc>
          <w:tcPr>
            <w:tcW w:w="0" w:type="auto"/>
          </w:tcPr>
          <w:p w:rsidR="00CD6A25" w:rsidRDefault="00000000">
            <w:pPr>
              <w:spacing w:beforeAutospacing="1" w:afterAutospacing="1"/>
            </w:pPr>
            <w:r>
              <w:rPr>
                <w:color w:val="000000"/>
              </w:rPr>
              <w:t>AFH Factor: Affordable Housing Preservation</w:t>
            </w:r>
            <w:r>
              <w:rPr>
                <w:color w:val="000000"/>
              </w:rPr>
              <w:br/>
              <w:t>AFH Factor: Affordable Housing Development</w:t>
            </w:r>
            <w:r>
              <w:rPr>
                <w:color w:val="000000"/>
              </w:rPr>
              <w:br/>
              <w:t>AFH Factor: Homeless Prevention Programs</w:t>
            </w:r>
            <w:r>
              <w:rPr>
                <w:color w:val="000000"/>
              </w:rPr>
              <w:br/>
              <w:t>Homeless Services and Programs</w:t>
            </w:r>
          </w:p>
        </w:tc>
        <w:tc>
          <w:tcPr>
            <w:tcW w:w="0" w:type="auto"/>
          </w:tcPr>
          <w:p w:rsidR="00CD6A25" w:rsidRDefault="00000000">
            <w:pPr>
              <w:spacing w:beforeAutospacing="1" w:afterAutospacing="1"/>
              <w:jc w:val="right"/>
            </w:pPr>
            <w:r>
              <w:rPr>
                <w:color w:val="000000"/>
              </w:rPr>
              <w:t>CDBG: $310,298.00</w:t>
            </w:r>
            <w:r>
              <w:rPr>
                <w:color w:val="000000"/>
              </w:rPr>
              <w:br/>
              <w:t>HOME: $411,372.55</w:t>
            </w:r>
            <w:r>
              <w:rPr>
                <w:color w:val="000000"/>
              </w:rPr>
              <w:br/>
              <w:t>General Funds: $125,000.00</w:t>
            </w:r>
          </w:p>
        </w:tc>
        <w:tc>
          <w:tcPr>
            <w:tcW w:w="0" w:type="auto"/>
          </w:tcPr>
          <w:p w:rsidR="00CD6A25" w:rsidRDefault="00000000">
            <w:pPr>
              <w:spacing w:beforeAutospacing="1" w:afterAutospacing="1"/>
            </w:pPr>
            <w:r>
              <w:rPr>
                <w:color w:val="000000"/>
              </w:rPr>
              <w:t>Tenant-based rental assistance / Rapid Rehousing: 20 Households Assisted</w:t>
            </w:r>
            <w:r>
              <w:rPr>
                <w:color w:val="000000"/>
              </w:rPr>
              <w:br/>
              <w:t>Homelessness Prevention: 258 Persons Assisted</w:t>
            </w:r>
          </w:p>
        </w:tc>
      </w:tr>
      <w:tr w:rsidR="00CD6A25">
        <w:trPr>
          <w:cantSplit/>
        </w:trPr>
        <w:tc>
          <w:tcPr>
            <w:tcW w:w="0" w:type="auto"/>
          </w:tcPr>
          <w:p w:rsidR="00CD6A25" w:rsidRDefault="00000000">
            <w:pPr>
              <w:spacing w:beforeAutospacing="1" w:afterAutospacing="1"/>
            </w:pPr>
            <w:r>
              <w:rPr>
                <w:b/>
                <w:color w:val="000000"/>
              </w:rPr>
              <w:t>5</w:t>
            </w:r>
          </w:p>
        </w:tc>
        <w:tc>
          <w:tcPr>
            <w:tcW w:w="0" w:type="auto"/>
          </w:tcPr>
          <w:p w:rsidR="00CD6A25" w:rsidRDefault="00000000">
            <w:pPr>
              <w:spacing w:beforeAutospacing="1" w:afterAutospacing="1"/>
            </w:pPr>
            <w:r>
              <w:rPr>
                <w:color w:val="000000"/>
              </w:rPr>
              <w:t>Homeless Services and Programs</w:t>
            </w:r>
          </w:p>
        </w:tc>
        <w:tc>
          <w:tcPr>
            <w:tcW w:w="0" w:type="auto"/>
          </w:tcPr>
          <w:p w:rsidR="00CD6A25" w:rsidRDefault="00000000">
            <w:pPr>
              <w:spacing w:beforeAutospacing="1" w:afterAutospacing="1"/>
              <w:jc w:val="right"/>
            </w:pPr>
            <w:r>
              <w:rPr>
                <w:color w:val="000000"/>
              </w:rPr>
              <w:t>2023</w:t>
            </w:r>
          </w:p>
        </w:tc>
        <w:tc>
          <w:tcPr>
            <w:tcW w:w="0" w:type="auto"/>
          </w:tcPr>
          <w:p w:rsidR="00CD6A25" w:rsidRDefault="00000000">
            <w:pPr>
              <w:spacing w:beforeAutospacing="1" w:afterAutospacing="1"/>
              <w:jc w:val="right"/>
            </w:pPr>
            <w:r>
              <w:rPr>
                <w:color w:val="000000"/>
              </w:rPr>
              <w:t>2027</w:t>
            </w:r>
          </w:p>
        </w:tc>
        <w:tc>
          <w:tcPr>
            <w:tcW w:w="0" w:type="auto"/>
          </w:tcPr>
          <w:p w:rsidR="00CD6A25" w:rsidRDefault="00000000">
            <w:pPr>
              <w:spacing w:beforeAutospacing="1" w:afterAutospacing="1"/>
            </w:pPr>
            <w:r>
              <w:rPr>
                <w:color w:val="000000"/>
              </w:rPr>
              <w:t>Affordable Housing</w:t>
            </w:r>
            <w:r>
              <w:rPr>
                <w:color w:val="000000"/>
              </w:rPr>
              <w:br/>
              <w:t>Homeless</w:t>
            </w:r>
          </w:p>
        </w:tc>
        <w:tc>
          <w:tcPr>
            <w:tcW w:w="0" w:type="auto"/>
          </w:tcPr>
          <w:p w:rsidR="00CD6A25" w:rsidRDefault="00000000">
            <w:pPr>
              <w:spacing w:beforeAutospacing="1" w:afterAutospacing="1"/>
            </w:pPr>
            <w:r>
              <w:rPr>
                <w:color w:val="000000"/>
              </w:rPr>
              <w:t>Citywide Investment</w:t>
            </w:r>
          </w:p>
        </w:tc>
        <w:tc>
          <w:tcPr>
            <w:tcW w:w="0" w:type="auto"/>
          </w:tcPr>
          <w:p w:rsidR="00CD6A25" w:rsidRDefault="00000000">
            <w:pPr>
              <w:spacing w:beforeAutospacing="1" w:afterAutospacing="1"/>
            </w:pPr>
            <w:r>
              <w:rPr>
                <w:color w:val="000000"/>
              </w:rPr>
              <w:t>AFH Factor: Homeless Prevention Programs</w:t>
            </w:r>
            <w:r>
              <w:rPr>
                <w:color w:val="000000"/>
              </w:rPr>
              <w:br/>
              <w:t>Homeless Services and Programs</w:t>
            </w:r>
          </w:p>
        </w:tc>
        <w:tc>
          <w:tcPr>
            <w:tcW w:w="0" w:type="auto"/>
          </w:tcPr>
          <w:p w:rsidR="00CD6A25" w:rsidRDefault="00000000">
            <w:pPr>
              <w:spacing w:beforeAutospacing="1" w:afterAutospacing="1"/>
              <w:jc w:val="right"/>
            </w:pPr>
            <w:r>
              <w:rPr>
                <w:color w:val="000000"/>
              </w:rPr>
              <w:t>ESG: $345,073.71</w:t>
            </w:r>
            <w:r>
              <w:rPr>
                <w:color w:val="000000"/>
              </w:rPr>
              <w:br/>
              <w:t>General Funds: $448,073.71</w:t>
            </w:r>
          </w:p>
        </w:tc>
        <w:tc>
          <w:tcPr>
            <w:tcW w:w="0" w:type="auto"/>
          </w:tcPr>
          <w:p w:rsidR="00CD6A25" w:rsidRDefault="00000000">
            <w:pPr>
              <w:spacing w:beforeAutospacing="1" w:afterAutospacing="1"/>
            </w:pPr>
            <w:r>
              <w:rPr>
                <w:color w:val="000000"/>
              </w:rPr>
              <w:t>Tenant-based rental assistance / Rapid Rehousing: 12 Households Assisted</w:t>
            </w:r>
            <w:r>
              <w:rPr>
                <w:color w:val="000000"/>
              </w:rPr>
              <w:br/>
              <w:t>Homeless Person Overnight Shelter: 722 Persons Assisted</w:t>
            </w:r>
            <w:r>
              <w:rPr>
                <w:color w:val="000000"/>
              </w:rPr>
              <w:br/>
              <w:t>Overnight/Emergency Shelter/Transitional Housing Beds added: 74 Beds</w:t>
            </w:r>
            <w:r>
              <w:rPr>
                <w:color w:val="000000"/>
              </w:rPr>
              <w:br/>
              <w:t>Homelessness Prevention: 30 Persons Assisted</w:t>
            </w:r>
          </w:p>
        </w:tc>
      </w:tr>
      <w:tr w:rsidR="00CD6A25">
        <w:trPr>
          <w:cantSplit/>
        </w:trPr>
        <w:tc>
          <w:tcPr>
            <w:tcW w:w="0" w:type="auto"/>
          </w:tcPr>
          <w:p w:rsidR="00CD6A25" w:rsidRDefault="00000000">
            <w:pPr>
              <w:spacing w:beforeAutospacing="1" w:afterAutospacing="1"/>
            </w:pPr>
            <w:r>
              <w:rPr>
                <w:b/>
                <w:color w:val="000000"/>
              </w:rPr>
              <w:lastRenderedPageBreak/>
              <w:t>6</w:t>
            </w:r>
          </w:p>
        </w:tc>
        <w:tc>
          <w:tcPr>
            <w:tcW w:w="0" w:type="auto"/>
          </w:tcPr>
          <w:p w:rsidR="00CD6A25" w:rsidRDefault="00000000">
            <w:pPr>
              <w:spacing w:beforeAutospacing="1" w:afterAutospacing="1"/>
            </w:pPr>
            <w:r>
              <w:rPr>
                <w:color w:val="000000"/>
              </w:rPr>
              <w:t>Public Facilities and Infrastructure</w:t>
            </w:r>
          </w:p>
        </w:tc>
        <w:tc>
          <w:tcPr>
            <w:tcW w:w="0" w:type="auto"/>
          </w:tcPr>
          <w:p w:rsidR="00CD6A25" w:rsidRDefault="00000000">
            <w:pPr>
              <w:spacing w:beforeAutospacing="1" w:afterAutospacing="1"/>
              <w:jc w:val="right"/>
            </w:pPr>
            <w:r>
              <w:rPr>
                <w:color w:val="000000"/>
              </w:rPr>
              <w:t>2023</w:t>
            </w:r>
          </w:p>
        </w:tc>
        <w:tc>
          <w:tcPr>
            <w:tcW w:w="0" w:type="auto"/>
          </w:tcPr>
          <w:p w:rsidR="00CD6A25" w:rsidRDefault="00000000">
            <w:pPr>
              <w:spacing w:beforeAutospacing="1" w:afterAutospacing="1"/>
              <w:jc w:val="right"/>
            </w:pPr>
            <w:r>
              <w:rPr>
                <w:color w:val="000000"/>
              </w:rPr>
              <w:t>2027</w:t>
            </w:r>
          </w:p>
        </w:tc>
        <w:tc>
          <w:tcPr>
            <w:tcW w:w="0" w:type="auto"/>
          </w:tcPr>
          <w:p w:rsidR="00CD6A25" w:rsidRDefault="00000000">
            <w:pPr>
              <w:spacing w:beforeAutospacing="1" w:afterAutospacing="1"/>
            </w:pPr>
            <w:r>
              <w:rPr>
                <w:color w:val="000000"/>
              </w:rPr>
              <w:t>Non-Housing Community Development</w:t>
            </w:r>
          </w:p>
        </w:tc>
        <w:tc>
          <w:tcPr>
            <w:tcW w:w="0" w:type="auto"/>
          </w:tcPr>
          <w:p w:rsidR="00CD6A25" w:rsidRDefault="00000000">
            <w:pPr>
              <w:spacing w:beforeAutospacing="1" w:afterAutospacing="1"/>
            </w:pPr>
            <w:r>
              <w:rPr>
                <w:color w:val="000000"/>
              </w:rPr>
              <w:t>Citywide Investment</w:t>
            </w:r>
          </w:p>
        </w:tc>
        <w:tc>
          <w:tcPr>
            <w:tcW w:w="0" w:type="auto"/>
          </w:tcPr>
          <w:p w:rsidR="00CD6A25" w:rsidRDefault="00000000">
            <w:pPr>
              <w:spacing w:beforeAutospacing="1" w:afterAutospacing="1"/>
            </w:pPr>
            <w:r>
              <w:rPr>
                <w:color w:val="000000"/>
              </w:rPr>
              <w:t>Public Facilities and Infrastructure</w:t>
            </w:r>
          </w:p>
        </w:tc>
        <w:tc>
          <w:tcPr>
            <w:tcW w:w="0" w:type="auto"/>
          </w:tcPr>
          <w:p w:rsidR="00CD6A25" w:rsidRDefault="00000000">
            <w:pPr>
              <w:spacing w:beforeAutospacing="1" w:afterAutospacing="1"/>
              <w:jc w:val="right"/>
            </w:pPr>
            <w:r>
              <w:rPr>
                <w:color w:val="000000"/>
              </w:rPr>
              <w:t>CDBG: $613,028.50</w:t>
            </w:r>
          </w:p>
        </w:tc>
        <w:tc>
          <w:tcPr>
            <w:tcW w:w="0" w:type="auto"/>
          </w:tcPr>
          <w:p w:rsidR="00CD6A25" w:rsidRDefault="00000000">
            <w:pPr>
              <w:spacing w:beforeAutospacing="1" w:afterAutospacing="1"/>
            </w:pPr>
            <w:r>
              <w:rPr>
                <w:color w:val="000000"/>
              </w:rPr>
              <w:t>Public Facility or Infrastructure Activities for Low/Moderate Income Housing Benefit: 203 Households Assisted</w:t>
            </w:r>
          </w:p>
        </w:tc>
      </w:tr>
      <w:tr w:rsidR="00CD6A25">
        <w:trPr>
          <w:cantSplit/>
        </w:trPr>
        <w:tc>
          <w:tcPr>
            <w:tcW w:w="0" w:type="auto"/>
          </w:tcPr>
          <w:p w:rsidR="00CD6A25" w:rsidRDefault="00000000">
            <w:pPr>
              <w:spacing w:beforeAutospacing="1" w:afterAutospacing="1"/>
            </w:pPr>
            <w:r>
              <w:rPr>
                <w:b/>
                <w:color w:val="000000"/>
              </w:rPr>
              <w:t>7</w:t>
            </w:r>
          </w:p>
        </w:tc>
        <w:tc>
          <w:tcPr>
            <w:tcW w:w="0" w:type="auto"/>
          </w:tcPr>
          <w:p w:rsidR="00CD6A25" w:rsidRDefault="00000000">
            <w:pPr>
              <w:spacing w:beforeAutospacing="1" w:afterAutospacing="1"/>
            </w:pPr>
            <w:r>
              <w:rPr>
                <w:color w:val="000000"/>
              </w:rPr>
              <w:t>Public Services</w:t>
            </w:r>
          </w:p>
        </w:tc>
        <w:tc>
          <w:tcPr>
            <w:tcW w:w="0" w:type="auto"/>
          </w:tcPr>
          <w:p w:rsidR="00CD6A25" w:rsidRDefault="00000000">
            <w:pPr>
              <w:spacing w:beforeAutospacing="1" w:afterAutospacing="1"/>
              <w:jc w:val="right"/>
            </w:pPr>
            <w:r>
              <w:rPr>
                <w:color w:val="000000"/>
              </w:rPr>
              <w:t>2023</w:t>
            </w:r>
          </w:p>
        </w:tc>
        <w:tc>
          <w:tcPr>
            <w:tcW w:w="0" w:type="auto"/>
          </w:tcPr>
          <w:p w:rsidR="00CD6A25" w:rsidRDefault="00000000">
            <w:pPr>
              <w:spacing w:beforeAutospacing="1" w:afterAutospacing="1"/>
              <w:jc w:val="right"/>
            </w:pPr>
            <w:r>
              <w:rPr>
                <w:color w:val="000000"/>
              </w:rPr>
              <w:t>2027</w:t>
            </w:r>
          </w:p>
        </w:tc>
        <w:tc>
          <w:tcPr>
            <w:tcW w:w="0" w:type="auto"/>
          </w:tcPr>
          <w:p w:rsidR="00CD6A25" w:rsidRDefault="00000000">
            <w:pPr>
              <w:spacing w:beforeAutospacing="1" w:afterAutospacing="1"/>
            </w:pPr>
            <w:r>
              <w:rPr>
                <w:color w:val="000000"/>
              </w:rPr>
              <w:t>Non-Housing Community Development</w:t>
            </w:r>
          </w:p>
        </w:tc>
        <w:tc>
          <w:tcPr>
            <w:tcW w:w="0" w:type="auto"/>
          </w:tcPr>
          <w:p w:rsidR="00CD6A25" w:rsidRDefault="00000000">
            <w:pPr>
              <w:spacing w:beforeAutospacing="1" w:afterAutospacing="1"/>
            </w:pPr>
            <w:r>
              <w:rPr>
                <w:color w:val="000000"/>
              </w:rPr>
              <w:t>Citywide Investment</w:t>
            </w:r>
          </w:p>
        </w:tc>
        <w:tc>
          <w:tcPr>
            <w:tcW w:w="0" w:type="auto"/>
          </w:tcPr>
          <w:p w:rsidR="00CD6A25" w:rsidRDefault="00000000">
            <w:pPr>
              <w:spacing w:beforeAutospacing="1" w:afterAutospacing="1"/>
            </w:pPr>
            <w:r>
              <w:rPr>
                <w:color w:val="000000"/>
              </w:rPr>
              <w:t>Public Services</w:t>
            </w:r>
          </w:p>
        </w:tc>
        <w:tc>
          <w:tcPr>
            <w:tcW w:w="0" w:type="auto"/>
          </w:tcPr>
          <w:p w:rsidR="00CD6A25" w:rsidRDefault="00000000">
            <w:pPr>
              <w:spacing w:beforeAutospacing="1" w:afterAutospacing="1"/>
              <w:jc w:val="right"/>
            </w:pPr>
            <w:r>
              <w:rPr>
                <w:color w:val="000000"/>
              </w:rPr>
              <w:t>CDBG: $349,060.00</w:t>
            </w:r>
            <w:r>
              <w:rPr>
                <w:color w:val="000000"/>
              </w:rPr>
              <w:br/>
              <w:t>General Funds: $152,400.00</w:t>
            </w:r>
          </w:p>
        </w:tc>
        <w:tc>
          <w:tcPr>
            <w:tcW w:w="0" w:type="auto"/>
          </w:tcPr>
          <w:p w:rsidR="00CD6A25" w:rsidRDefault="00000000">
            <w:pPr>
              <w:spacing w:beforeAutospacing="1" w:afterAutospacing="1"/>
            </w:pPr>
            <w:r>
              <w:rPr>
                <w:color w:val="000000"/>
              </w:rPr>
              <w:t>Public service activities other than Low/Moderate Income Housing Benefit: 2045 Persons Assisted</w:t>
            </w:r>
          </w:p>
        </w:tc>
      </w:tr>
      <w:tr w:rsidR="00CD6A25">
        <w:trPr>
          <w:cantSplit/>
        </w:trPr>
        <w:tc>
          <w:tcPr>
            <w:tcW w:w="0" w:type="auto"/>
          </w:tcPr>
          <w:p w:rsidR="00CD6A25" w:rsidRDefault="00000000">
            <w:pPr>
              <w:spacing w:beforeAutospacing="1" w:afterAutospacing="1"/>
            </w:pPr>
            <w:r>
              <w:rPr>
                <w:b/>
                <w:color w:val="000000"/>
              </w:rPr>
              <w:t>8</w:t>
            </w:r>
          </w:p>
        </w:tc>
        <w:tc>
          <w:tcPr>
            <w:tcW w:w="0" w:type="auto"/>
          </w:tcPr>
          <w:p w:rsidR="00CD6A25" w:rsidRDefault="00000000">
            <w:pPr>
              <w:spacing w:beforeAutospacing="1" w:afterAutospacing="1"/>
            </w:pPr>
            <w:r>
              <w:rPr>
                <w:color w:val="000000"/>
              </w:rPr>
              <w:t>Economic Development Opportunities</w:t>
            </w:r>
          </w:p>
        </w:tc>
        <w:tc>
          <w:tcPr>
            <w:tcW w:w="0" w:type="auto"/>
          </w:tcPr>
          <w:p w:rsidR="00CD6A25" w:rsidRDefault="00000000">
            <w:pPr>
              <w:spacing w:beforeAutospacing="1" w:afterAutospacing="1"/>
              <w:jc w:val="right"/>
            </w:pPr>
            <w:r>
              <w:rPr>
                <w:color w:val="000000"/>
              </w:rPr>
              <w:t>2023</w:t>
            </w:r>
          </w:p>
        </w:tc>
        <w:tc>
          <w:tcPr>
            <w:tcW w:w="0" w:type="auto"/>
          </w:tcPr>
          <w:p w:rsidR="00CD6A25" w:rsidRDefault="00000000">
            <w:pPr>
              <w:spacing w:beforeAutospacing="1" w:afterAutospacing="1"/>
              <w:jc w:val="right"/>
            </w:pPr>
            <w:r>
              <w:rPr>
                <w:color w:val="000000"/>
              </w:rPr>
              <w:t>2027</w:t>
            </w:r>
          </w:p>
        </w:tc>
        <w:tc>
          <w:tcPr>
            <w:tcW w:w="0" w:type="auto"/>
          </w:tcPr>
          <w:p w:rsidR="00CD6A25" w:rsidRDefault="00000000">
            <w:pPr>
              <w:spacing w:beforeAutospacing="1" w:afterAutospacing="1"/>
            </w:pPr>
            <w:r>
              <w:rPr>
                <w:color w:val="000000"/>
              </w:rPr>
              <w:t>Non-Housing Community Development</w:t>
            </w:r>
          </w:p>
        </w:tc>
        <w:tc>
          <w:tcPr>
            <w:tcW w:w="0" w:type="auto"/>
          </w:tcPr>
          <w:p w:rsidR="00CD6A25" w:rsidRDefault="00000000">
            <w:pPr>
              <w:spacing w:beforeAutospacing="1" w:afterAutospacing="1"/>
            </w:pPr>
            <w:r>
              <w:rPr>
                <w:color w:val="000000"/>
              </w:rPr>
              <w:t>Citywide Investment</w:t>
            </w:r>
          </w:p>
        </w:tc>
        <w:tc>
          <w:tcPr>
            <w:tcW w:w="0" w:type="auto"/>
          </w:tcPr>
          <w:p w:rsidR="00CD6A25" w:rsidRDefault="00000000">
            <w:pPr>
              <w:spacing w:beforeAutospacing="1" w:afterAutospacing="1"/>
            </w:pPr>
            <w:r>
              <w:rPr>
                <w:color w:val="000000"/>
              </w:rPr>
              <w:t>Economic Development Opportunities</w:t>
            </w:r>
          </w:p>
        </w:tc>
        <w:tc>
          <w:tcPr>
            <w:tcW w:w="0" w:type="auto"/>
          </w:tcPr>
          <w:p w:rsidR="00CD6A25" w:rsidRDefault="00000000">
            <w:pPr>
              <w:spacing w:beforeAutospacing="1" w:afterAutospacing="1"/>
              <w:jc w:val="right"/>
            </w:pPr>
            <w:r>
              <w:rPr>
                <w:color w:val="000000"/>
              </w:rPr>
              <w:t>CDBG: $.00</w:t>
            </w:r>
          </w:p>
        </w:tc>
        <w:tc>
          <w:tcPr>
            <w:tcW w:w="0" w:type="auto"/>
          </w:tcPr>
          <w:p w:rsidR="00CD6A25" w:rsidRDefault="00000000">
            <w:pPr>
              <w:spacing w:beforeAutospacing="1" w:afterAutospacing="1"/>
            </w:pPr>
            <w:r>
              <w:rPr>
                <w:color w:val="000000"/>
              </w:rPr>
              <w:t>Businesses assisted: 0 Businesses Assisted</w:t>
            </w:r>
          </w:p>
        </w:tc>
      </w:tr>
      <w:tr w:rsidR="00CD6A25">
        <w:trPr>
          <w:cantSplit/>
        </w:trPr>
        <w:tc>
          <w:tcPr>
            <w:tcW w:w="0" w:type="auto"/>
          </w:tcPr>
          <w:p w:rsidR="00CD6A25" w:rsidRDefault="00000000">
            <w:pPr>
              <w:spacing w:beforeAutospacing="1" w:afterAutospacing="1"/>
            </w:pPr>
            <w:r>
              <w:rPr>
                <w:b/>
                <w:color w:val="000000"/>
              </w:rPr>
              <w:t>9</w:t>
            </w:r>
          </w:p>
        </w:tc>
        <w:tc>
          <w:tcPr>
            <w:tcW w:w="0" w:type="auto"/>
          </w:tcPr>
          <w:p w:rsidR="00CD6A25" w:rsidRDefault="00000000">
            <w:pPr>
              <w:spacing w:beforeAutospacing="1" w:afterAutospacing="1"/>
            </w:pPr>
            <w:r>
              <w:rPr>
                <w:color w:val="000000"/>
              </w:rPr>
              <w:t>Program Administration</w:t>
            </w:r>
          </w:p>
        </w:tc>
        <w:tc>
          <w:tcPr>
            <w:tcW w:w="0" w:type="auto"/>
          </w:tcPr>
          <w:p w:rsidR="00CD6A25" w:rsidRDefault="00000000">
            <w:pPr>
              <w:spacing w:beforeAutospacing="1" w:afterAutospacing="1"/>
              <w:jc w:val="right"/>
            </w:pPr>
            <w:r>
              <w:rPr>
                <w:color w:val="000000"/>
              </w:rPr>
              <w:t>2023</w:t>
            </w:r>
          </w:p>
        </w:tc>
        <w:tc>
          <w:tcPr>
            <w:tcW w:w="0" w:type="auto"/>
          </w:tcPr>
          <w:p w:rsidR="00CD6A25" w:rsidRDefault="00000000">
            <w:pPr>
              <w:spacing w:beforeAutospacing="1" w:afterAutospacing="1"/>
              <w:jc w:val="right"/>
            </w:pPr>
            <w:r>
              <w:rPr>
                <w:color w:val="000000"/>
              </w:rPr>
              <w:t>2027</w:t>
            </w:r>
          </w:p>
        </w:tc>
        <w:tc>
          <w:tcPr>
            <w:tcW w:w="0" w:type="auto"/>
          </w:tcPr>
          <w:p w:rsidR="00CD6A25" w:rsidRDefault="00000000">
            <w:pPr>
              <w:spacing w:beforeAutospacing="1" w:afterAutospacing="1"/>
            </w:pPr>
            <w:r>
              <w:rPr>
                <w:color w:val="000000"/>
              </w:rPr>
              <w:t>Non-Housing Community Development</w:t>
            </w:r>
          </w:p>
        </w:tc>
        <w:tc>
          <w:tcPr>
            <w:tcW w:w="0" w:type="auto"/>
          </w:tcPr>
          <w:p w:rsidR="00CD6A25" w:rsidRDefault="00000000">
            <w:pPr>
              <w:spacing w:beforeAutospacing="1" w:afterAutospacing="1"/>
            </w:pPr>
            <w:r>
              <w:rPr>
                <w:color w:val="000000"/>
              </w:rPr>
              <w:t>Citywide Investment</w:t>
            </w:r>
          </w:p>
        </w:tc>
        <w:tc>
          <w:tcPr>
            <w:tcW w:w="0" w:type="auto"/>
          </w:tcPr>
          <w:p w:rsidR="00CD6A25" w:rsidRDefault="00000000">
            <w:pPr>
              <w:spacing w:beforeAutospacing="1" w:afterAutospacing="1"/>
            </w:pPr>
            <w:r>
              <w:rPr>
                <w:color w:val="000000"/>
              </w:rPr>
              <w:t>Program Administration</w:t>
            </w:r>
          </w:p>
        </w:tc>
        <w:tc>
          <w:tcPr>
            <w:tcW w:w="0" w:type="auto"/>
          </w:tcPr>
          <w:p w:rsidR="00CD6A25" w:rsidRDefault="00000000">
            <w:pPr>
              <w:spacing w:beforeAutospacing="1" w:afterAutospacing="1"/>
              <w:jc w:val="right"/>
            </w:pPr>
            <w:r>
              <w:rPr>
                <w:color w:val="000000"/>
              </w:rPr>
              <w:t>CDBG: $879,144.00</w:t>
            </w:r>
            <w:r>
              <w:rPr>
                <w:color w:val="000000"/>
              </w:rPr>
              <w:br/>
              <w:t>HOME: $195,708.49</w:t>
            </w:r>
            <w:r>
              <w:rPr>
                <w:color w:val="000000"/>
              </w:rPr>
              <w:br/>
              <w:t>ESG: $25,973.29</w:t>
            </w:r>
            <w:r>
              <w:rPr>
                <w:color w:val="000000"/>
              </w:rPr>
              <w:br/>
              <w:t>General Funds: $25,973.29</w:t>
            </w:r>
          </w:p>
        </w:tc>
        <w:tc>
          <w:tcPr>
            <w:tcW w:w="0" w:type="auto"/>
          </w:tcPr>
          <w:p w:rsidR="00CD6A25" w:rsidRDefault="00000000">
            <w:pPr>
              <w:spacing w:beforeAutospacing="1" w:afterAutospacing="1"/>
            </w:pPr>
            <w:r>
              <w:rPr>
                <w:color w:val="000000"/>
              </w:rPr>
              <w:t>Other: 1 Other</w:t>
            </w:r>
          </w:p>
        </w:tc>
      </w:tr>
    </w:tbl>
    <w:p w:rsidR="00CD6A25" w:rsidRDefault="0000000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Goals Summary</w:t>
      </w:r>
    </w:p>
    <w:p w:rsidR="00CD6A25" w:rsidRDefault="00CD6A25"/>
    <w:p w:rsidR="00CD6A25" w:rsidRDefault="00000000">
      <w:pPr>
        <w:rPr>
          <w:b/>
          <w:sz w:val="24"/>
          <w:szCs w:val="24"/>
        </w:rPr>
      </w:pPr>
      <w:r>
        <w:rPr>
          <w:b/>
          <w:sz w:val="24"/>
          <w:szCs w:val="24"/>
        </w:rPr>
        <w:t>Goal Descriptions</w:t>
      </w:r>
    </w:p>
    <w:p w:rsidR="00CD6A25" w:rsidRDefault="00CD6A25">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412"/>
        <w:gridCol w:w="11210"/>
      </w:tblGrid>
      <w:tr w:rsidR="00CD6A25">
        <w:trPr>
          <w:cantSplit/>
        </w:trPr>
        <w:tc>
          <w:tcPr>
            <w:tcW w:w="0" w:type="auto"/>
            <w:vMerge w:val="restart"/>
          </w:tcPr>
          <w:p w:rsidR="00CD6A25" w:rsidRDefault="00000000">
            <w:pPr>
              <w:keepNext/>
              <w:spacing w:before="100" w:after="0"/>
            </w:pPr>
            <w:r>
              <w:rPr>
                <w:b/>
                <w:color w:val="000000"/>
              </w:rPr>
              <w:lastRenderedPageBreak/>
              <w:t>1</w:t>
            </w:r>
          </w:p>
        </w:tc>
        <w:tc>
          <w:tcPr>
            <w:tcW w:w="0" w:type="auto"/>
          </w:tcPr>
          <w:p w:rsidR="00CD6A25" w:rsidRDefault="00000000">
            <w:pPr>
              <w:keepNext/>
              <w:spacing w:before="100" w:after="0"/>
              <w:rPr>
                <w:b/>
              </w:rPr>
            </w:pPr>
            <w:r>
              <w:rPr>
                <w:b/>
              </w:rPr>
              <w:t>Goal Name</w:t>
            </w:r>
          </w:p>
        </w:tc>
        <w:tc>
          <w:tcPr>
            <w:tcW w:w="0" w:type="auto"/>
          </w:tcPr>
          <w:p w:rsidR="00CD6A25" w:rsidRDefault="00000000">
            <w:pPr>
              <w:spacing w:before="100" w:after="0"/>
            </w:pPr>
            <w:r>
              <w:rPr>
                <w:color w:val="000000"/>
              </w:rPr>
              <w:t>Affordable Housing Preservation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Goal Description</w:t>
            </w:r>
          </w:p>
        </w:tc>
        <w:tc>
          <w:tcPr>
            <w:tcW w:w="0" w:type="auto"/>
          </w:tcPr>
          <w:p w:rsidR="00CD6A25" w:rsidRDefault="00000000">
            <w:pPr>
              <w:spacing w:before="100" w:after="0"/>
            </w:pPr>
            <w:r>
              <w:rPr>
                <w:b/>
                <w:color w:val="000000"/>
              </w:rPr>
              <w:t>Goal:</w:t>
            </w:r>
            <w:r>
              <w:rPr>
                <w:color w:val="000000"/>
              </w:rPr>
              <w:t> Preserve the current affordable housing supply in Albuquerque.</w:t>
            </w:r>
          </w:p>
          <w:p w:rsidR="00CD6A25" w:rsidRDefault="00000000">
            <w:pPr>
              <w:spacing w:before="100" w:after="0"/>
            </w:pPr>
            <w:r>
              <w:rPr>
                <w:color w:val="000000"/>
              </w:rPr>
              <w:t>Preserving the current supply of affordable rental units in Albuquerque is critical to helping keep extremely low to low-income households from becoming homeless. Programs funded under this goal may include rehabilitation programs, energy efficiency improvements, lead-based paint testing and abatement, emergency repairs, weatherization, modernization of public housing and retrofit programs to help keep residents with mobility or disability challenges in their homes.</w:t>
            </w:r>
          </w:p>
        </w:tc>
      </w:tr>
      <w:tr w:rsidR="00CD6A25">
        <w:trPr>
          <w:cantSplit/>
        </w:trPr>
        <w:tc>
          <w:tcPr>
            <w:tcW w:w="0" w:type="auto"/>
            <w:vMerge w:val="restart"/>
          </w:tcPr>
          <w:p w:rsidR="00CD6A25" w:rsidRDefault="00000000">
            <w:pPr>
              <w:keepNext/>
              <w:spacing w:before="100" w:after="0"/>
            </w:pPr>
            <w:r>
              <w:rPr>
                <w:b/>
                <w:color w:val="000000"/>
              </w:rPr>
              <w:t>2</w:t>
            </w:r>
          </w:p>
        </w:tc>
        <w:tc>
          <w:tcPr>
            <w:tcW w:w="0" w:type="auto"/>
          </w:tcPr>
          <w:p w:rsidR="00CD6A25" w:rsidRDefault="00000000">
            <w:pPr>
              <w:keepNext/>
              <w:spacing w:before="100" w:after="0"/>
              <w:rPr>
                <w:b/>
              </w:rPr>
            </w:pPr>
            <w:r>
              <w:rPr>
                <w:b/>
              </w:rPr>
              <w:t>Goal Name</w:t>
            </w:r>
          </w:p>
        </w:tc>
        <w:tc>
          <w:tcPr>
            <w:tcW w:w="0" w:type="auto"/>
          </w:tcPr>
          <w:p w:rsidR="00CD6A25" w:rsidRDefault="00000000">
            <w:pPr>
              <w:spacing w:before="100" w:after="0"/>
            </w:pPr>
            <w:r>
              <w:rPr>
                <w:color w:val="000000"/>
              </w:rPr>
              <w:t>Affordable Housing Development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Goal Description</w:t>
            </w:r>
          </w:p>
        </w:tc>
        <w:tc>
          <w:tcPr>
            <w:tcW w:w="0" w:type="auto"/>
          </w:tcPr>
          <w:p w:rsidR="00CD6A25" w:rsidRDefault="00000000">
            <w:pPr>
              <w:spacing w:before="100" w:after="0"/>
            </w:pPr>
            <w:r>
              <w:rPr>
                <w:b/>
                <w:color w:val="000000"/>
              </w:rPr>
              <w:t>Goal: </w:t>
            </w:r>
            <w:r>
              <w:rPr>
                <w:color w:val="000000"/>
              </w:rPr>
              <w:t>Increase access to safe, decent, and affordable housing for low- to moderate-income residents</w:t>
            </w:r>
          </w:p>
          <w:p w:rsidR="00CD6A25" w:rsidRDefault="00000000">
            <w:pPr>
              <w:spacing w:before="100" w:after="0"/>
            </w:pPr>
            <w:r>
              <w:rPr>
                <w:color w:val="000000"/>
              </w:rPr>
              <w:t>Building new affordable rental housing is important to improve the severe shortage of housing in the city. Programs funded under this goal may include developing rental and/or single-family units, acquisition, clearance, relocation and converting motels or other reasonable commercial properties into affordable housing. </w:t>
            </w:r>
          </w:p>
          <w:p w:rsidR="00CD6A25" w:rsidRDefault="00000000">
            <w:pPr>
              <w:spacing w:before="100" w:after="0"/>
            </w:pPr>
            <w:r>
              <w:rPr>
                <w:color w:val="000000"/>
              </w:rPr>
              <w:t xml:space="preserve">To address the AFH Goal of Affordable Housing Development the City annually releases </w:t>
            </w:r>
            <w:proofErr w:type="gramStart"/>
            <w:r>
              <w:rPr>
                <w:color w:val="000000"/>
              </w:rPr>
              <w:t>RFP's</w:t>
            </w:r>
            <w:proofErr w:type="gramEnd"/>
            <w:r>
              <w:rPr>
                <w:color w:val="000000"/>
              </w:rPr>
              <w:t xml:space="preserve"> to develop affordable housing.</w:t>
            </w:r>
          </w:p>
        </w:tc>
      </w:tr>
      <w:tr w:rsidR="00CD6A25">
        <w:trPr>
          <w:cantSplit/>
        </w:trPr>
        <w:tc>
          <w:tcPr>
            <w:tcW w:w="0" w:type="auto"/>
            <w:vMerge w:val="restart"/>
          </w:tcPr>
          <w:p w:rsidR="00CD6A25" w:rsidRDefault="00000000">
            <w:pPr>
              <w:keepNext/>
              <w:spacing w:before="100" w:after="0"/>
            </w:pPr>
            <w:r>
              <w:rPr>
                <w:b/>
                <w:color w:val="000000"/>
              </w:rPr>
              <w:t>3</w:t>
            </w:r>
          </w:p>
        </w:tc>
        <w:tc>
          <w:tcPr>
            <w:tcW w:w="0" w:type="auto"/>
          </w:tcPr>
          <w:p w:rsidR="00CD6A25" w:rsidRDefault="00000000">
            <w:pPr>
              <w:keepNext/>
              <w:spacing w:before="100" w:after="0"/>
              <w:rPr>
                <w:b/>
              </w:rPr>
            </w:pPr>
            <w:r>
              <w:rPr>
                <w:b/>
              </w:rPr>
              <w:t>Goal Name</w:t>
            </w:r>
          </w:p>
        </w:tc>
        <w:tc>
          <w:tcPr>
            <w:tcW w:w="0" w:type="auto"/>
          </w:tcPr>
          <w:p w:rsidR="00CD6A25" w:rsidRDefault="00000000">
            <w:pPr>
              <w:spacing w:before="100" w:after="0"/>
            </w:pPr>
            <w:r>
              <w:rPr>
                <w:color w:val="000000"/>
              </w:rPr>
              <w:t>Affordable Homeownership Opportunities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Goal Description</w:t>
            </w:r>
          </w:p>
        </w:tc>
        <w:tc>
          <w:tcPr>
            <w:tcW w:w="0" w:type="auto"/>
          </w:tcPr>
          <w:p w:rsidR="00CD6A25" w:rsidRDefault="00000000">
            <w:pPr>
              <w:spacing w:before="100" w:after="0"/>
            </w:pPr>
            <w:r>
              <w:rPr>
                <w:b/>
                <w:color w:val="000000"/>
              </w:rPr>
              <w:t>Goal:</w:t>
            </w:r>
            <w:r>
              <w:rPr>
                <w:color w:val="000000"/>
              </w:rPr>
              <w:t> Create affordable homeownership opportunities for low- to moderate-income Albuquerque residents</w:t>
            </w:r>
          </w:p>
          <w:p w:rsidR="00CD6A25" w:rsidRDefault="00000000">
            <w:pPr>
              <w:spacing w:before="100" w:after="0"/>
            </w:pPr>
            <w:r>
              <w:rPr>
                <w:color w:val="000000"/>
              </w:rPr>
              <w:t>Increase homeownership for low to moderate-income households. Such mechanisms include down payment assistance or mortgage reduction assistance programs. Prospective homebuyers will also receive services including counseling and financial literacy to impart budgeting skills and to encourage savings for home maintenance and emergency repairs.</w:t>
            </w:r>
          </w:p>
          <w:p w:rsidR="00CD6A25" w:rsidRDefault="00000000">
            <w:pPr>
              <w:spacing w:before="100" w:after="0"/>
            </w:pPr>
            <w:r>
              <w:rPr>
                <w:color w:val="000000"/>
              </w:rPr>
              <w:t xml:space="preserve">To address the AFH Goal of Affordable Homeownership Opportunities the City will contract with </w:t>
            </w:r>
            <w:proofErr w:type="spellStart"/>
            <w:r>
              <w:rPr>
                <w:color w:val="000000"/>
              </w:rPr>
              <w:t>Homewise</w:t>
            </w:r>
            <w:proofErr w:type="spellEnd"/>
            <w:r>
              <w:rPr>
                <w:color w:val="000000"/>
              </w:rPr>
              <w:t xml:space="preserve"> and Sawmill to provide mortgage reduction assistance to low-income households to purchase a home.</w:t>
            </w:r>
          </w:p>
        </w:tc>
      </w:tr>
      <w:tr w:rsidR="00CD6A25">
        <w:trPr>
          <w:cantSplit/>
        </w:trPr>
        <w:tc>
          <w:tcPr>
            <w:tcW w:w="0" w:type="auto"/>
            <w:vMerge w:val="restart"/>
          </w:tcPr>
          <w:p w:rsidR="00CD6A25" w:rsidRDefault="00000000">
            <w:pPr>
              <w:keepNext/>
              <w:spacing w:before="100" w:after="0"/>
            </w:pPr>
            <w:r>
              <w:rPr>
                <w:b/>
                <w:color w:val="000000"/>
              </w:rPr>
              <w:lastRenderedPageBreak/>
              <w:t>4</w:t>
            </w:r>
          </w:p>
        </w:tc>
        <w:tc>
          <w:tcPr>
            <w:tcW w:w="0" w:type="auto"/>
          </w:tcPr>
          <w:p w:rsidR="00CD6A25" w:rsidRDefault="00000000">
            <w:pPr>
              <w:keepNext/>
              <w:spacing w:before="100" w:after="0"/>
              <w:rPr>
                <w:b/>
              </w:rPr>
            </w:pPr>
            <w:r>
              <w:rPr>
                <w:b/>
              </w:rPr>
              <w:t>Goal Name</w:t>
            </w:r>
          </w:p>
        </w:tc>
        <w:tc>
          <w:tcPr>
            <w:tcW w:w="0" w:type="auto"/>
          </w:tcPr>
          <w:p w:rsidR="00CD6A25" w:rsidRDefault="00000000">
            <w:pPr>
              <w:spacing w:before="100" w:after="0"/>
            </w:pPr>
            <w:r>
              <w:rPr>
                <w:color w:val="000000"/>
              </w:rPr>
              <w:t>Homeless Prevention Programs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Goal Description</w:t>
            </w:r>
          </w:p>
        </w:tc>
        <w:tc>
          <w:tcPr>
            <w:tcW w:w="0" w:type="auto"/>
          </w:tcPr>
          <w:p w:rsidR="00CD6A25" w:rsidRDefault="00000000">
            <w:pPr>
              <w:spacing w:before="100" w:after="0"/>
            </w:pPr>
            <w:r>
              <w:rPr>
                <w:b/>
                <w:color w:val="000000"/>
              </w:rPr>
              <w:t>Goal: </w:t>
            </w:r>
            <w:r>
              <w:rPr>
                <w:color w:val="000000"/>
              </w:rPr>
              <w:t>Increase access to homeless prevention programs</w:t>
            </w:r>
          </w:p>
          <w:p w:rsidR="00CD6A25" w:rsidRDefault="00000000">
            <w:pPr>
              <w:spacing w:before="100" w:after="0"/>
            </w:pPr>
            <w:r>
              <w:rPr>
                <w:color w:val="000000"/>
              </w:rPr>
              <w:t>Increased access to homeless prevention programs will help reduce the risk of homelessness. Programs funded under this goal may include Tenant Based Rental Assistance (TBRA), emergency rental assistance, and landlord/tenant legal services. </w:t>
            </w:r>
          </w:p>
          <w:p w:rsidR="00CD6A25" w:rsidRDefault="00000000">
            <w:pPr>
              <w:spacing w:before="100" w:after="0"/>
            </w:pPr>
            <w:r>
              <w:rPr>
                <w:color w:val="000000"/>
              </w:rPr>
              <w:t>To address the AFH Goal of Homeless Prevention the City will execute contracts for eviction prevention, Tenant Based Rental assistance and legal services for tenants and landlords. </w:t>
            </w:r>
          </w:p>
        </w:tc>
      </w:tr>
      <w:tr w:rsidR="00CD6A25">
        <w:trPr>
          <w:cantSplit/>
        </w:trPr>
        <w:tc>
          <w:tcPr>
            <w:tcW w:w="0" w:type="auto"/>
            <w:vMerge w:val="restart"/>
          </w:tcPr>
          <w:p w:rsidR="00CD6A25" w:rsidRDefault="00000000">
            <w:pPr>
              <w:keepNext/>
              <w:spacing w:before="100" w:after="0"/>
            </w:pPr>
            <w:r>
              <w:rPr>
                <w:b/>
                <w:color w:val="000000"/>
              </w:rPr>
              <w:t>5</w:t>
            </w:r>
          </w:p>
        </w:tc>
        <w:tc>
          <w:tcPr>
            <w:tcW w:w="0" w:type="auto"/>
          </w:tcPr>
          <w:p w:rsidR="00CD6A25" w:rsidRDefault="00000000">
            <w:pPr>
              <w:keepNext/>
              <w:spacing w:before="100" w:after="0"/>
              <w:rPr>
                <w:b/>
              </w:rPr>
            </w:pPr>
            <w:r>
              <w:rPr>
                <w:b/>
              </w:rPr>
              <w:t>Goal Name</w:t>
            </w:r>
          </w:p>
        </w:tc>
        <w:tc>
          <w:tcPr>
            <w:tcW w:w="0" w:type="auto"/>
          </w:tcPr>
          <w:p w:rsidR="00CD6A25" w:rsidRDefault="00000000">
            <w:pPr>
              <w:spacing w:before="100" w:after="0"/>
            </w:pPr>
            <w:r>
              <w:rPr>
                <w:color w:val="000000"/>
              </w:rPr>
              <w:t>Homeless Services and Programs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Goal Description</w:t>
            </w:r>
          </w:p>
        </w:tc>
        <w:tc>
          <w:tcPr>
            <w:tcW w:w="0" w:type="auto"/>
          </w:tcPr>
          <w:p w:rsidR="00CD6A25" w:rsidRDefault="00000000">
            <w:pPr>
              <w:spacing w:before="100" w:after="0"/>
            </w:pPr>
            <w:r>
              <w:rPr>
                <w:b/>
                <w:color w:val="000000"/>
              </w:rPr>
              <w:t>Goal:</w:t>
            </w:r>
            <w:r>
              <w:rPr>
                <w:color w:val="000000"/>
              </w:rPr>
              <w:t> Reduce homelessness through access to homeless services and programs</w:t>
            </w:r>
          </w:p>
          <w:p w:rsidR="00CD6A25" w:rsidRDefault="00000000">
            <w:pPr>
              <w:spacing w:before="100" w:after="0"/>
            </w:pPr>
            <w:r>
              <w:rPr>
                <w:color w:val="000000"/>
              </w:rPr>
              <w:t>Programs funded under this goal will include street outreach and/or case management that includes housing navigation and engagement, HMIS support, emergency shelter programs, and rapid rehousing programs. </w:t>
            </w:r>
          </w:p>
        </w:tc>
      </w:tr>
      <w:tr w:rsidR="00CD6A25">
        <w:trPr>
          <w:cantSplit/>
        </w:trPr>
        <w:tc>
          <w:tcPr>
            <w:tcW w:w="0" w:type="auto"/>
            <w:vMerge w:val="restart"/>
          </w:tcPr>
          <w:p w:rsidR="00CD6A25" w:rsidRDefault="00000000">
            <w:pPr>
              <w:keepNext/>
              <w:spacing w:before="100" w:after="0"/>
            </w:pPr>
            <w:r>
              <w:rPr>
                <w:b/>
                <w:color w:val="000000"/>
              </w:rPr>
              <w:t>6</w:t>
            </w:r>
          </w:p>
        </w:tc>
        <w:tc>
          <w:tcPr>
            <w:tcW w:w="0" w:type="auto"/>
          </w:tcPr>
          <w:p w:rsidR="00CD6A25" w:rsidRDefault="00000000">
            <w:pPr>
              <w:keepNext/>
              <w:spacing w:before="100" w:after="0"/>
              <w:rPr>
                <w:b/>
              </w:rPr>
            </w:pPr>
            <w:r>
              <w:rPr>
                <w:b/>
              </w:rPr>
              <w:t>Goal Name</w:t>
            </w:r>
          </w:p>
        </w:tc>
        <w:tc>
          <w:tcPr>
            <w:tcW w:w="0" w:type="auto"/>
          </w:tcPr>
          <w:p w:rsidR="00CD6A25" w:rsidRDefault="00000000">
            <w:pPr>
              <w:spacing w:before="100" w:after="0"/>
            </w:pPr>
            <w:r>
              <w:rPr>
                <w:color w:val="000000"/>
              </w:rPr>
              <w:t>Public Facilities and Infrastructure</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Goal Description</w:t>
            </w:r>
          </w:p>
        </w:tc>
        <w:tc>
          <w:tcPr>
            <w:tcW w:w="0" w:type="auto"/>
          </w:tcPr>
          <w:p w:rsidR="00CD6A25" w:rsidRDefault="00000000">
            <w:pPr>
              <w:spacing w:before="100" w:after="0"/>
            </w:pPr>
            <w:r>
              <w:rPr>
                <w:b/>
                <w:color w:val="000000"/>
              </w:rPr>
              <w:t>Goal:</w:t>
            </w:r>
            <w:r>
              <w:rPr>
                <w:color w:val="000000"/>
              </w:rPr>
              <w:t> Enhance and develop public facilities and infrastructure in Albuquerque</w:t>
            </w:r>
          </w:p>
          <w:p w:rsidR="00CD6A25" w:rsidRDefault="00000000">
            <w:pPr>
              <w:spacing w:before="100" w:after="0"/>
            </w:pPr>
            <w:r>
              <w:rPr>
                <w:color w:val="000000"/>
              </w:rPr>
              <w:t>Improve City public facilities, including community centers, senior or multi-generational centers, fire stations and other public buildings. Improve City infrastructure, including sidewalks and street improvements, lighting and flood drainage and water/sewer improvements.</w:t>
            </w:r>
          </w:p>
        </w:tc>
      </w:tr>
      <w:tr w:rsidR="00CD6A25">
        <w:trPr>
          <w:cantSplit/>
        </w:trPr>
        <w:tc>
          <w:tcPr>
            <w:tcW w:w="0" w:type="auto"/>
            <w:vMerge w:val="restart"/>
          </w:tcPr>
          <w:p w:rsidR="00CD6A25" w:rsidRDefault="00000000">
            <w:pPr>
              <w:keepNext/>
              <w:spacing w:before="100" w:after="0"/>
            </w:pPr>
            <w:r>
              <w:rPr>
                <w:b/>
                <w:color w:val="000000"/>
              </w:rPr>
              <w:t>7</w:t>
            </w:r>
          </w:p>
        </w:tc>
        <w:tc>
          <w:tcPr>
            <w:tcW w:w="0" w:type="auto"/>
          </w:tcPr>
          <w:p w:rsidR="00CD6A25" w:rsidRDefault="00000000">
            <w:pPr>
              <w:keepNext/>
              <w:spacing w:before="100" w:after="0"/>
              <w:rPr>
                <w:b/>
              </w:rPr>
            </w:pPr>
            <w:r>
              <w:rPr>
                <w:b/>
              </w:rPr>
              <w:t>Goal Name</w:t>
            </w:r>
          </w:p>
        </w:tc>
        <w:tc>
          <w:tcPr>
            <w:tcW w:w="0" w:type="auto"/>
          </w:tcPr>
          <w:p w:rsidR="00CD6A25" w:rsidRDefault="00000000">
            <w:pPr>
              <w:spacing w:before="100" w:after="0"/>
            </w:pPr>
            <w:r>
              <w:rPr>
                <w:color w:val="000000"/>
              </w:rPr>
              <w:t>Public Services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Goal Description</w:t>
            </w:r>
          </w:p>
        </w:tc>
        <w:tc>
          <w:tcPr>
            <w:tcW w:w="0" w:type="auto"/>
          </w:tcPr>
          <w:p w:rsidR="00CD6A25" w:rsidRDefault="00000000">
            <w:pPr>
              <w:spacing w:before="100" w:after="0"/>
            </w:pPr>
            <w:r>
              <w:rPr>
                <w:b/>
                <w:color w:val="000000"/>
              </w:rPr>
              <w:t>Goal:</w:t>
            </w:r>
            <w:r>
              <w:rPr>
                <w:color w:val="000000"/>
              </w:rPr>
              <w:t> Improve access to public services for low- to moderate-income residents</w:t>
            </w:r>
          </w:p>
          <w:p w:rsidR="00CD6A25" w:rsidRDefault="00000000">
            <w:pPr>
              <w:spacing w:before="100" w:after="0"/>
            </w:pPr>
            <w:r>
              <w:rPr>
                <w:color w:val="000000"/>
              </w:rPr>
              <w:t>Programs funded under this goal are services for low- to moderate-income persons and at-risk populations, including but not limited to youth and senior services.</w:t>
            </w:r>
          </w:p>
          <w:p w:rsidR="00CD6A25" w:rsidRDefault="00000000">
            <w:pPr>
              <w:spacing w:before="100" w:after="0"/>
            </w:pPr>
            <w:r>
              <w:rPr>
                <w:color w:val="000000"/>
              </w:rPr>
              <w:t>To address the AFH Factor Fair Housing Education and Awareness the City will provide training, education, and information on fair housing, process housing discrimination complaints, and provide language access services through a sub-recipient. This activity is funded with general funds therefore will be reported on in CAPER narratives.</w:t>
            </w:r>
          </w:p>
        </w:tc>
      </w:tr>
      <w:tr w:rsidR="00CD6A25">
        <w:trPr>
          <w:cantSplit/>
        </w:trPr>
        <w:tc>
          <w:tcPr>
            <w:tcW w:w="0" w:type="auto"/>
            <w:vMerge w:val="restart"/>
          </w:tcPr>
          <w:p w:rsidR="00CD6A25" w:rsidRDefault="00000000">
            <w:pPr>
              <w:keepNext/>
              <w:spacing w:before="100" w:after="0"/>
            </w:pPr>
            <w:r>
              <w:rPr>
                <w:b/>
                <w:color w:val="000000"/>
              </w:rPr>
              <w:lastRenderedPageBreak/>
              <w:t>8</w:t>
            </w:r>
          </w:p>
        </w:tc>
        <w:tc>
          <w:tcPr>
            <w:tcW w:w="0" w:type="auto"/>
          </w:tcPr>
          <w:p w:rsidR="00CD6A25" w:rsidRDefault="00000000">
            <w:pPr>
              <w:keepNext/>
              <w:spacing w:before="100" w:after="0"/>
              <w:rPr>
                <w:b/>
              </w:rPr>
            </w:pPr>
            <w:r>
              <w:rPr>
                <w:b/>
              </w:rPr>
              <w:t>Goal Name</w:t>
            </w:r>
          </w:p>
        </w:tc>
        <w:tc>
          <w:tcPr>
            <w:tcW w:w="0" w:type="auto"/>
          </w:tcPr>
          <w:p w:rsidR="00CD6A25" w:rsidRDefault="00000000">
            <w:pPr>
              <w:spacing w:before="100" w:after="0"/>
            </w:pPr>
            <w:r>
              <w:rPr>
                <w:color w:val="000000"/>
              </w:rPr>
              <w:t>Economic Development Opportunities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Goal Description</w:t>
            </w:r>
          </w:p>
        </w:tc>
        <w:tc>
          <w:tcPr>
            <w:tcW w:w="0" w:type="auto"/>
          </w:tcPr>
          <w:p w:rsidR="00CD6A25" w:rsidRDefault="00000000">
            <w:pPr>
              <w:spacing w:before="100" w:after="0"/>
            </w:pPr>
            <w:r>
              <w:rPr>
                <w:b/>
                <w:color w:val="000000"/>
              </w:rPr>
              <w:t>Goal:</w:t>
            </w:r>
            <w:r>
              <w:rPr>
                <w:color w:val="000000"/>
              </w:rPr>
              <w:t> Increase economic development opportunities for low to moderate income residents</w:t>
            </w:r>
          </w:p>
          <w:p w:rsidR="00CD6A25" w:rsidRDefault="00000000">
            <w:pPr>
              <w:spacing w:before="100" w:after="0"/>
            </w:pPr>
            <w:r>
              <w:rPr>
                <w:color w:val="000000"/>
              </w:rPr>
              <w:t>Promote stability by increasing access to economic opportunities for low- to moderate-income residents or businesses.</w:t>
            </w:r>
          </w:p>
        </w:tc>
      </w:tr>
      <w:tr w:rsidR="00CD6A25">
        <w:trPr>
          <w:cantSplit/>
        </w:trPr>
        <w:tc>
          <w:tcPr>
            <w:tcW w:w="0" w:type="auto"/>
            <w:vMerge w:val="restart"/>
          </w:tcPr>
          <w:p w:rsidR="00CD6A25" w:rsidRDefault="00000000">
            <w:pPr>
              <w:keepNext/>
              <w:spacing w:before="100" w:after="0"/>
            </w:pPr>
            <w:r>
              <w:rPr>
                <w:b/>
                <w:color w:val="000000"/>
              </w:rPr>
              <w:t>9</w:t>
            </w:r>
          </w:p>
        </w:tc>
        <w:tc>
          <w:tcPr>
            <w:tcW w:w="0" w:type="auto"/>
          </w:tcPr>
          <w:p w:rsidR="00CD6A25" w:rsidRDefault="00000000">
            <w:pPr>
              <w:keepNext/>
              <w:spacing w:before="100" w:after="0"/>
              <w:rPr>
                <w:b/>
              </w:rPr>
            </w:pPr>
            <w:r>
              <w:rPr>
                <w:b/>
              </w:rPr>
              <w:t>Goal Name</w:t>
            </w:r>
          </w:p>
        </w:tc>
        <w:tc>
          <w:tcPr>
            <w:tcW w:w="0" w:type="auto"/>
          </w:tcPr>
          <w:p w:rsidR="00CD6A25" w:rsidRDefault="00000000">
            <w:pPr>
              <w:spacing w:before="100" w:after="0"/>
            </w:pPr>
            <w:r>
              <w:rPr>
                <w:color w:val="000000"/>
              </w:rPr>
              <w:t>Program Administration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Goal Description</w:t>
            </w:r>
          </w:p>
        </w:tc>
        <w:tc>
          <w:tcPr>
            <w:tcW w:w="0" w:type="auto"/>
          </w:tcPr>
          <w:p w:rsidR="00CD6A25" w:rsidRDefault="00000000">
            <w:pPr>
              <w:spacing w:before="100" w:after="0"/>
            </w:pPr>
            <w:r>
              <w:rPr>
                <w:b/>
                <w:color w:val="000000"/>
              </w:rPr>
              <w:t>Goal:</w:t>
            </w:r>
            <w:r>
              <w:rPr>
                <w:color w:val="000000"/>
              </w:rPr>
              <w:t> Efficiently administer and manage program funding and reporting</w:t>
            </w:r>
          </w:p>
          <w:p w:rsidR="00CD6A25" w:rsidRDefault="00000000">
            <w:pPr>
              <w:spacing w:before="100" w:after="0"/>
            </w:pPr>
            <w:r>
              <w:rPr>
                <w:color w:val="000000"/>
              </w:rPr>
              <w:t>Provide for the administration of HUD Community Planning and Development programs.</w:t>
            </w:r>
          </w:p>
        </w:tc>
      </w:tr>
    </w:tbl>
    <w:p w:rsidR="00CD6A25" w:rsidRDefault="00CD6A25">
      <w:pPr>
        <w:keepNext/>
        <w:widowControl w:val="0"/>
        <w:jc w:val="center"/>
        <w:rPr>
          <w:b/>
          <w:sz w:val="20"/>
          <w:szCs w:val="20"/>
        </w:rPr>
      </w:pPr>
    </w:p>
    <w:p w:rsidR="00CD6A25" w:rsidRDefault="00CD6A25">
      <w:pPr>
        <w:rPr>
          <w:b/>
          <w:sz w:val="24"/>
          <w:szCs w:val="24"/>
        </w:rPr>
      </w:pPr>
    </w:p>
    <w:p w:rsidR="00CD6A25" w:rsidRDefault="00CD6A25">
      <w:pPr>
        <w:sectPr w:rsidR="00CD6A25">
          <w:pgSz w:w="15840" w:h="12240" w:orient="landscape" w:code="1"/>
          <w:pgMar w:top="1440" w:right="1440" w:bottom="1440" w:left="1440" w:header="720" w:footer="720" w:gutter="0"/>
          <w:cols w:space="720"/>
          <w:docGrid w:linePitch="360"/>
        </w:sectPr>
      </w:pPr>
    </w:p>
    <w:p w:rsidR="00CD6A25" w:rsidRDefault="00000000">
      <w:pPr>
        <w:pStyle w:val="Heading2"/>
        <w:jc w:val="center"/>
        <w:rPr>
          <w:rFonts w:ascii="Calibri" w:hAnsi="Calibri"/>
          <w:i w:val="0"/>
          <w:sz w:val="32"/>
          <w:szCs w:val="32"/>
        </w:rPr>
      </w:pPr>
      <w:r>
        <w:rPr>
          <w:rFonts w:ascii="Calibri" w:hAnsi="Calibri"/>
          <w:i w:val="0"/>
          <w:sz w:val="32"/>
          <w:szCs w:val="32"/>
        </w:rPr>
        <w:lastRenderedPageBreak/>
        <w:t xml:space="preserve">Projects </w:t>
      </w:r>
      <w:bookmarkStart w:id="0" w:name="_Toc309810475"/>
    </w:p>
    <w:p w:rsidR="00CD6A25" w:rsidRDefault="00000000">
      <w:pPr>
        <w:pStyle w:val="Heading2"/>
        <w:rPr>
          <w:rFonts w:ascii="Calibri" w:hAnsi="Calibri"/>
          <w:i w:val="0"/>
        </w:rPr>
      </w:pPr>
      <w:r>
        <w:rPr>
          <w:rFonts w:ascii="Calibri" w:hAnsi="Calibri"/>
          <w:i w:val="0"/>
        </w:rPr>
        <w:t>AP-35 Projects – 91.220(d)</w:t>
      </w:r>
    </w:p>
    <w:p w:rsidR="00CD6A25" w:rsidRDefault="00000000">
      <w:pPr>
        <w:keepNext/>
        <w:widowControl w:val="0"/>
        <w:spacing w:line="204" w:lineRule="auto"/>
        <w:rPr>
          <w:b/>
          <w:sz w:val="24"/>
          <w:szCs w:val="24"/>
        </w:rPr>
      </w:pPr>
      <w:r>
        <w:rPr>
          <w:b/>
          <w:sz w:val="24"/>
          <w:szCs w:val="24"/>
        </w:rPr>
        <w:t xml:space="preserve">Introduction </w:t>
      </w:r>
    </w:p>
    <w:p w:rsidR="00CD6A25" w:rsidRDefault="00000000">
      <w:pPr>
        <w:keepNext/>
        <w:widowControl w:val="0"/>
        <w:spacing w:beforeAutospacing="1" w:afterAutospacing="1"/>
        <w:rPr>
          <w:rFonts w:cs="Arial"/>
        </w:rPr>
      </w:pPr>
      <w:r>
        <w:rPr>
          <w:rFonts w:cs="Arial"/>
        </w:rPr>
        <w:t>To address priority needs identified in the Strategic Plan, the City of Albuquerque will invest CDBG, HOME, ESG, and General Funds in projects that develop new affordable housing units, promote homeownership, provide fair housing services, and provide services to low-and moderate-income residents. These projects will include activities for youth and seniors, will address and prevent homelessness, as well as improve public facilities and infrastructure. In addition to addressing the priority needs in the Strategic Plan, the projects in the 2025 Action Plan will further HUD’s national goals for the CDBG, HOME and ESG programs to provide decent housing opportunities, maintain a suitable living environment and expand economic opportunities for low- and moderate-income Albuquerque residents.</w:t>
      </w:r>
    </w:p>
    <w:p w:rsidR="00CD6A25" w:rsidRDefault="00CD6A25">
      <w:pPr>
        <w:keepNext/>
        <w:widowControl w:val="0"/>
        <w:spacing w:line="204" w:lineRule="auto"/>
        <w:rPr>
          <w:rFonts w:cs="Arial"/>
        </w:rPr>
      </w:pPr>
    </w:p>
    <w:p w:rsidR="00CD6A25" w:rsidRDefault="00000000">
      <w:pPr>
        <w:keepNext/>
        <w:widowControl w:val="0"/>
        <w:spacing w:line="204" w:lineRule="auto"/>
        <w:rPr>
          <w:b/>
          <w:sz w:val="24"/>
          <w:szCs w:val="24"/>
        </w:rPr>
      </w:pPr>
      <w:r>
        <w:rPr>
          <w:rFonts w:cs="Arial"/>
          <w:b/>
        </w:rPr>
        <w:t>Projects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6231"/>
      </w:tblGrid>
      <w:tr w:rsidR="00CD6A25">
        <w:trPr>
          <w:cantSplit/>
          <w:tblHeader/>
        </w:trPr>
        <w:tc>
          <w:tcPr>
            <w:tcW w:w="0" w:type="auto"/>
          </w:tcPr>
          <w:p w:rsidR="00CD6A25" w:rsidRDefault="00000000">
            <w:pPr>
              <w:keepNext/>
              <w:widowControl w:val="0"/>
              <w:spacing w:after="0" w:line="240" w:lineRule="auto"/>
              <w:jc w:val="center"/>
              <w:rPr>
                <w:b/>
              </w:rPr>
            </w:pPr>
            <w:r>
              <w:rPr>
                <w:b/>
              </w:rPr>
              <w:t>#</w:t>
            </w:r>
          </w:p>
        </w:tc>
        <w:tc>
          <w:tcPr>
            <w:tcW w:w="0" w:type="auto"/>
          </w:tcPr>
          <w:p w:rsidR="00CD6A25" w:rsidRDefault="00000000">
            <w:pPr>
              <w:keepNext/>
              <w:widowControl w:val="0"/>
              <w:spacing w:after="0" w:line="240" w:lineRule="auto"/>
              <w:jc w:val="center"/>
              <w:rPr>
                <w:b/>
                <w:szCs w:val="24"/>
              </w:rPr>
            </w:pPr>
            <w:r>
              <w:rPr>
                <w:b/>
              </w:rPr>
              <w:t>Project Name</w:t>
            </w:r>
          </w:p>
        </w:tc>
      </w:tr>
      <w:tr w:rsidR="00CD6A25">
        <w:trPr>
          <w:cantSplit/>
        </w:trPr>
        <w:tc>
          <w:tcPr>
            <w:tcW w:w="0" w:type="auto"/>
            <w:vAlign w:val="bottom"/>
          </w:tcPr>
          <w:p w:rsidR="00CD6A25" w:rsidRDefault="00000000">
            <w:pPr>
              <w:spacing w:beforeAutospacing="1" w:afterAutospacing="1"/>
              <w:jc w:val="right"/>
            </w:pPr>
            <w:r>
              <w:rPr>
                <w:color w:val="000000"/>
              </w:rPr>
              <w:t>1</w:t>
            </w:r>
          </w:p>
        </w:tc>
        <w:tc>
          <w:tcPr>
            <w:tcW w:w="0" w:type="auto"/>
            <w:vAlign w:val="bottom"/>
          </w:tcPr>
          <w:p w:rsidR="00CD6A25" w:rsidRDefault="00000000">
            <w:pPr>
              <w:spacing w:beforeAutospacing="1" w:afterAutospacing="1"/>
            </w:pPr>
            <w:r>
              <w:rPr>
                <w:color w:val="000000"/>
              </w:rPr>
              <w:t>COA Administration</w:t>
            </w:r>
          </w:p>
        </w:tc>
      </w:tr>
      <w:tr w:rsidR="00CD6A25">
        <w:trPr>
          <w:cantSplit/>
        </w:trPr>
        <w:tc>
          <w:tcPr>
            <w:tcW w:w="0" w:type="auto"/>
            <w:vAlign w:val="bottom"/>
          </w:tcPr>
          <w:p w:rsidR="00CD6A25" w:rsidRDefault="00000000">
            <w:pPr>
              <w:spacing w:beforeAutospacing="1" w:afterAutospacing="1"/>
              <w:jc w:val="right"/>
            </w:pPr>
            <w:r>
              <w:rPr>
                <w:color w:val="000000"/>
              </w:rPr>
              <w:t>2</w:t>
            </w:r>
          </w:p>
        </w:tc>
        <w:tc>
          <w:tcPr>
            <w:tcW w:w="0" w:type="auto"/>
            <w:vAlign w:val="bottom"/>
          </w:tcPr>
          <w:p w:rsidR="00CD6A25" w:rsidRDefault="00000000">
            <w:pPr>
              <w:spacing w:beforeAutospacing="1" w:afterAutospacing="1"/>
            </w:pPr>
            <w:r>
              <w:rPr>
                <w:color w:val="000000"/>
              </w:rPr>
              <w:t>Affordable Homeownership Assistance</w:t>
            </w:r>
          </w:p>
        </w:tc>
      </w:tr>
      <w:tr w:rsidR="00CD6A25">
        <w:trPr>
          <w:cantSplit/>
        </w:trPr>
        <w:tc>
          <w:tcPr>
            <w:tcW w:w="0" w:type="auto"/>
            <w:vAlign w:val="bottom"/>
          </w:tcPr>
          <w:p w:rsidR="00CD6A25" w:rsidRDefault="00000000">
            <w:pPr>
              <w:spacing w:beforeAutospacing="1" w:afterAutospacing="1"/>
              <w:jc w:val="right"/>
            </w:pPr>
            <w:r>
              <w:rPr>
                <w:color w:val="000000"/>
              </w:rPr>
              <w:t>3</w:t>
            </w:r>
          </w:p>
        </w:tc>
        <w:tc>
          <w:tcPr>
            <w:tcW w:w="0" w:type="auto"/>
            <w:vAlign w:val="bottom"/>
          </w:tcPr>
          <w:p w:rsidR="00CD6A25" w:rsidRDefault="00000000">
            <w:pPr>
              <w:spacing w:beforeAutospacing="1" w:afterAutospacing="1"/>
            </w:pPr>
            <w:r>
              <w:rPr>
                <w:color w:val="000000"/>
              </w:rPr>
              <w:t>Affordable Housing Development</w:t>
            </w:r>
          </w:p>
        </w:tc>
      </w:tr>
      <w:tr w:rsidR="00CD6A25">
        <w:trPr>
          <w:cantSplit/>
        </w:trPr>
        <w:tc>
          <w:tcPr>
            <w:tcW w:w="0" w:type="auto"/>
            <w:vAlign w:val="bottom"/>
          </w:tcPr>
          <w:p w:rsidR="00CD6A25" w:rsidRDefault="00000000">
            <w:pPr>
              <w:spacing w:beforeAutospacing="1" w:afterAutospacing="1"/>
              <w:jc w:val="right"/>
            </w:pPr>
            <w:r>
              <w:rPr>
                <w:color w:val="000000"/>
              </w:rPr>
              <w:t>4</w:t>
            </w:r>
          </w:p>
        </w:tc>
        <w:tc>
          <w:tcPr>
            <w:tcW w:w="0" w:type="auto"/>
            <w:vAlign w:val="bottom"/>
          </w:tcPr>
          <w:p w:rsidR="00CD6A25" w:rsidRDefault="00000000">
            <w:pPr>
              <w:spacing w:beforeAutospacing="1" w:afterAutospacing="1"/>
            </w:pPr>
            <w:r>
              <w:rPr>
                <w:color w:val="000000"/>
              </w:rPr>
              <w:t>CHDO Operating</w:t>
            </w:r>
          </w:p>
        </w:tc>
      </w:tr>
      <w:tr w:rsidR="00CD6A25">
        <w:trPr>
          <w:cantSplit/>
        </w:trPr>
        <w:tc>
          <w:tcPr>
            <w:tcW w:w="0" w:type="auto"/>
            <w:vAlign w:val="bottom"/>
          </w:tcPr>
          <w:p w:rsidR="00CD6A25" w:rsidRDefault="00000000">
            <w:pPr>
              <w:spacing w:beforeAutospacing="1" w:afterAutospacing="1"/>
              <w:jc w:val="right"/>
            </w:pPr>
            <w:r>
              <w:rPr>
                <w:color w:val="000000"/>
              </w:rPr>
              <w:t>5</w:t>
            </w:r>
          </w:p>
        </w:tc>
        <w:tc>
          <w:tcPr>
            <w:tcW w:w="0" w:type="auto"/>
            <w:vAlign w:val="bottom"/>
          </w:tcPr>
          <w:p w:rsidR="00CD6A25" w:rsidRDefault="00000000">
            <w:pPr>
              <w:spacing w:beforeAutospacing="1" w:afterAutospacing="1"/>
            </w:pPr>
            <w:r>
              <w:rPr>
                <w:color w:val="000000"/>
              </w:rPr>
              <w:t>Tenant Based Rental Assistance (TBRA)</w:t>
            </w:r>
          </w:p>
        </w:tc>
      </w:tr>
      <w:tr w:rsidR="00CD6A25">
        <w:trPr>
          <w:cantSplit/>
        </w:trPr>
        <w:tc>
          <w:tcPr>
            <w:tcW w:w="0" w:type="auto"/>
            <w:vAlign w:val="bottom"/>
          </w:tcPr>
          <w:p w:rsidR="00CD6A25" w:rsidRDefault="00000000">
            <w:pPr>
              <w:spacing w:beforeAutospacing="1" w:afterAutospacing="1"/>
              <w:jc w:val="right"/>
            </w:pPr>
            <w:r>
              <w:rPr>
                <w:color w:val="000000"/>
              </w:rPr>
              <w:t>6</w:t>
            </w:r>
          </w:p>
        </w:tc>
        <w:tc>
          <w:tcPr>
            <w:tcW w:w="0" w:type="auto"/>
            <w:vAlign w:val="bottom"/>
          </w:tcPr>
          <w:p w:rsidR="00CD6A25" w:rsidRDefault="00000000">
            <w:pPr>
              <w:spacing w:beforeAutospacing="1" w:afterAutospacing="1"/>
            </w:pPr>
            <w:r>
              <w:rPr>
                <w:color w:val="000000"/>
              </w:rPr>
              <w:t>Public Facilities &amp; Infrastructure   Affordable Housing Infrastructure</w:t>
            </w:r>
          </w:p>
        </w:tc>
      </w:tr>
      <w:tr w:rsidR="00CD6A25">
        <w:trPr>
          <w:cantSplit/>
        </w:trPr>
        <w:tc>
          <w:tcPr>
            <w:tcW w:w="0" w:type="auto"/>
            <w:vAlign w:val="bottom"/>
          </w:tcPr>
          <w:p w:rsidR="00CD6A25" w:rsidRDefault="00000000">
            <w:pPr>
              <w:spacing w:beforeAutospacing="1" w:afterAutospacing="1"/>
              <w:jc w:val="right"/>
            </w:pPr>
            <w:r>
              <w:rPr>
                <w:color w:val="000000"/>
              </w:rPr>
              <w:t>7</w:t>
            </w:r>
          </w:p>
        </w:tc>
        <w:tc>
          <w:tcPr>
            <w:tcW w:w="0" w:type="auto"/>
            <w:vAlign w:val="bottom"/>
          </w:tcPr>
          <w:p w:rsidR="00CD6A25" w:rsidRDefault="00000000">
            <w:pPr>
              <w:spacing w:beforeAutospacing="1" w:afterAutospacing="1"/>
            </w:pPr>
            <w:r>
              <w:rPr>
                <w:color w:val="000000"/>
              </w:rPr>
              <w:t>Affordable Housing Preservation - Rental - Greywater System</w:t>
            </w:r>
          </w:p>
        </w:tc>
      </w:tr>
      <w:tr w:rsidR="00CD6A25">
        <w:trPr>
          <w:cantSplit/>
        </w:trPr>
        <w:tc>
          <w:tcPr>
            <w:tcW w:w="0" w:type="auto"/>
            <w:vAlign w:val="bottom"/>
          </w:tcPr>
          <w:p w:rsidR="00CD6A25" w:rsidRDefault="00000000">
            <w:pPr>
              <w:spacing w:beforeAutospacing="1" w:afterAutospacing="1"/>
              <w:jc w:val="right"/>
            </w:pPr>
            <w:r>
              <w:rPr>
                <w:color w:val="000000"/>
              </w:rPr>
              <w:t>8</w:t>
            </w:r>
          </w:p>
        </w:tc>
        <w:tc>
          <w:tcPr>
            <w:tcW w:w="0" w:type="auto"/>
            <w:vAlign w:val="bottom"/>
          </w:tcPr>
          <w:p w:rsidR="00CD6A25" w:rsidRDefault="00000000">
            <w:pPr>
              <w:spacing w:beforeAutospacing="1" w:afterAutospacing="1"/>
            </w:pPr>
            <w:r>
              <w:rPr>
                <w:color w:val="000000"/>
              </w:rPr>
              <w:t>Affordable Housing Preservation - Rental - Security Updates</w:t>
            </w:r>
          </w:p>
        </w:tc>
      </w:tr>
      <w:tr w:rsidR="00CD6A25">
        <w:trPr>
          <w:cantSplit/>
        </w:trPr>
        <w:tc>
          <w:tcPr>
            <w:tcW w:w="0" w:type="auto"/>
            <w:vAlign w:val="bottom"/>
          </w:tcPr>
          <w:p w:rsidR="00CD6A25" w:rsidRDefault="00000000">
            <w:pPr>
              <w:spacing w:beforeAutospacing="1" w:afterAutospacing="1"/>
              <w:jc w:val="right"/>
            </w:pPr>
            <w:r>
              <w:rPr>
                <w:color w:val="000000"/>
              </w:rPr>
              <w:t>9</w:t>
            </w:r>
          </w:p>
        </w:tc>
        <w:tc>
          <w:tcPr>
            <w:tcW w:w="0" w:type="auto"/>
            <w:vAlign w:val="bottom"/>
          </w:tcPr>
          <w:p w:rsidR="00CD6A25" w:rsidRDefault="00000000">
            <w:pPr>
              <w:spacing w:beforeAutospacing="1" w:afterAutospacing="1"/>
            </w:pPr>
            <w:r>
              <w:rPr>
                <w:color w:val="000000"/>
              </w:rPr>
              <w:t>Eviction Prevention</w:t>
            </w:r>
          </w:p>
        </w:tc>
      </w:tr>
      <w:tr w:rsidR="00CD6A25">
        <w:trPr>
          <w:cantSplit/>
        </w:trPr>
        <w:tc>
          <w:tcPr>
            <w:tcW w:w="0" w:type="auto"/>
            <w:vAlign w:val="bottom"/>
          </w:tcPr>
          <w:p w:rsidR="00CD6A25" w:rsidRDefault="00000000">
            <w:pPr>
              <w:spacing w:beforeAutospacing="1" w:afterAutospacing="1"/>
              <w:jc w:val="right"/>
            </w:pPr>
            <w:r>
              <w:rPr>
                <w:color w:val="000000"/>
              </w:rPr>
              <w:t>10</w:t>
            </w:r>
          </w:p>
        </w:tc>
        <w:tc>
          <w:tcPr>
            <w:tcW w:w="0" w:type="auto"/>
            <w:vAlign w:val="bottom"/>
          </w:tcPr>
          <w:p w:rsidR="00CD6A25" w:rsidRDefault="00000000">
            <w:pPr>
              <w:spacing w:beforeAutospacing="1" w:afterAutospacing="1"/>
            </w:pPr>
            <w:r>
              <w:rPr>
                <w:color w:val="000000"/>
              </w:rPr>
              <w:t>Dental Services</w:t>
            </w:r>
          </w:p>
        </w:tc>
      </w:tr>
      <w:tr w:rsidR="00CD6A25">
        <w:trPr>
          <w:cantSplit/>
        </w:trPr>
        <w:tc>
          <w:tcPr>
            <w:tcW w:w="0" w:type="auto"/>
            <w:vAlign w:val="bottom"/>
          </w:tcPr>
          <w:p w:rsidR="00CD6A25" w:rsidRDefault="00000000">
            <w:pPr>
              <w:spacing w:beforeAutospacing="1" w:afterAutospacing="1"/>
              <w:jc w:val="right"/>
            </w:pPr>
            <w:r>
              <w:rPr>
                <w:color w:val="000000"/>
              </w:rPr>
              <w:t>11</w:t>
            </w:r>
          </w:p>
        </w:tc>
        <w:tc>
          <w:tcPr>
            <w:tcW w:w="0" w:type="auto"/>
            <w:vAlign w:val="bottom"/>
          </w:tcPr>
          <w:p w:rsidR="00CD6A25" w:rsidRDefault="00000000">
            <w:pPr>
              <w:spacing w:beforeAutospacing="1" w:afterAutospacing="1"/>
            </w:pPr>
            <w:r>
              <w:rPr>
                <w:color w:val="000000"/>
              </w:rPr>
              <w:t>Senior Meals/Nutrition Program</w:t>
            </w:r>
          </w:p>
        </w:tc>
      </w:tr>
      <w:tr w:rsidR="00CD6A25">
        <w:trPr>
          <w:cantSplit/>
        </w:trPr>
        <w:tc>
          <w:tcPr>
            <w:tcW w:w="0" w:type="auto"/>
            <w:vAlign w:val="bottom"/>
          </w:tcPr>
          <w:p w:rsidR="00CD6A25" w:rsidRDefault="00000000">
            <w:pPr>
              <w:spacing w:beforeAutospacing="1" w:afterAutospacing="1"/>
              <w:jc w:val="right"/>
            </w:pPr>
            <w:r>
              <w:rPr>
                <w:color w:val="000000"/>
              </w:rPr>
              <w:t>12</w:t>
            </w:r>
          </w:p>
        </w:tc>
        <w:tc>
          <w:tcPr>
            <w:tcW w:w="0" w:type="auto"/>
            <w:vAlign w:val="bottom"/>
          </w:tcPr>
          <w:p w:rsidR="00CD6A25" w:rsidRDefault="00000000">
            <w:pPr>
              <w:spacing w:beforeAutospacing="1" w:afterAutospacing="1"/>
            </w:pPr>
            <w:r>
              <w:rPr>
                <w:color w:val="000000"/>
              </w:rPr>
              <w:t>Homeless Intervention and Rapid Rehousing</w:t>
            </w:r>
          </w:p>
        </w:tc>
      </w:tr>
    </w:tbl>
    <w:p w:rsidR="00CD6A25" w:rsidRDefault="00000000">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Project Information</w:t>
      </w:r>
    </w:p>
    <w:p w:rsidR="00CD6A25" w:rsidRDefault="00CD6A25">
      <w:pPr>
        <w:spacing w:after="0" w:line="240" w:lineRule="auto"/>
        <w:rPr>
          <w:b/>
          <w:sz w:val="24"/>
          <w:szCs w:val="24"/>
        </w:rPr>
      </w:pPr>
    </w:p>
    <w:p w:rsidR="00CD6A25" w:rsidRDefault="00000000">
      <w:pPr>
        <w:keepNext/>
        <w:widowControl w:val="0"/>
        <w:spacing w:line="204" w:lineRule="auto"/>
        <w:rPr>
          <w:b/>
          <w:sz w:val="24"/>
          <w:szCs w:val="24"/>
        </w:rPr>
      </w:pPr>
      <w:r>
        <w:rPr>
          <w:b/>
          <w:sz w:val="24"/>
          <w:szCs w:val="24"/>
        </w:rPr>
        <w:t>Describe the reasons for allocation priorities and any obstacles to addressing underserved needs</w:t>
      </w:r>
    </w:p>
    <w:p w:rsidR="00CD6A25" w:rsidRDefault="00000000">
      <w:pPr>
        <w:keepNext/>
        <w:widowControl w:val="0"/>
        <w:spacing w:beforeAutospacing="1" w:afterAutospacing="1"/>
        <w:rPr>
          <w:rFonts w:cs="Arial"/>
          <w:szCs w:val="24"/>
        </w:rPr>
      </w:pPr>
      <w:r>
        <w:rPr>
          <w:rFonts w:cs="Arial"/>
        </w:rPr>
        <w:t xml:space="preserve">Based on the Strategic Plan, the </w:t>
      </w:r>
      <w:proofErr w:type="gramStart"/>
      <w:r>
        <w:rPr>
          <w:rFonts w:cs="Arial"/>
        </w:rPr>
        <w:t>City</w:t>
      </w:r>
      <w:proofErr w:type="gramEnd"/>
      <w:r>
        <w:rPr>
          <w:rFonts w:cs="Arial"/>
        </w:rPr>
        <w:t xml:space="preserve"> is allocating 100% of its non-administrative CDBG, HOME and ESG investments for Program Year 2025 to projects that benefit low-and moderate-income individuals and families.</w:t>
      </w:r>
    </w:p>
    <w:p w:rsidR="00CD6A25" w:rsidRDefault="00CD6A25">
      <w:pPr>
        <w:rPr>
          <w:rFonts w:cs="Arial"/>
        </w:rPr>
      </w:pPr>
    </w:p>
    <w:p w:rsidR="00CD6A25" w:rsidRDefault="00CD6A25">
      <w:pPr>
        <w:rPr>
          <w:rFonts w:cs="Arial"/>
        </w:rPr>
      </w:pPr>
    </w:p>
    <w:p w:rsidR="00CD6A25" w:rsidRDefault="00CD6A25">
      <w:pPr>
        <w:rPr>
          <w:rFonts w:cs="Arial"/>
        </w:rPr>
        <w:sectPr w:rsidR="00CD6A25">
          <w:pgSz w:w="12240" w:h="15840" w:code="1"/>
          <w:pgMar w:top="1440" w:right="1440" w:bottom="1440" w:left="1440" w:header="720" w:footer="720" w:gutter="0"/>
          <w:cols w:space="720"/>
          <w:docGrid w:linePitch="360"/>
        </w:sectPr>
      </w:pPr>
    </w:p>
    <w:p w:rsidR="00CD6A25" w:rsidRDefault="00CD6A25">
      <w:pPr>
        <w:rPr>
          <w:rFonts w:cs="Arial"/>
        </w:rPr>
      </w:pPr>
    </w:p>
    <w:p w:rsidR="00CD6A25" w:rsidRDefault="00000000">
      <w:pPr>
        <w:pStyle w:val="Heading2"/>
        <w:rPr>
          <w:rFonts w:ascii="Calibri" w:hAnsi="Calibri"/>
          <w:i w:val="0"/>
        </w:rPr>
      </w:pPr>
      <w:r>
        <w:rPr>
          <w:rFonts w:ascii="Calibri" w:hAnsi="Calibri"/>
          <w:i w:val="0"/>
        </w:rPr>
        <w:t>AP-38 Project Summary</w:t>
      </w:r>
    </w:p>
    <w:p w:rsidR="00CD6A25" w:rsidRDefault="00000000">
      <w:pPr>
        <w:keepNext/>
        <w:widowControl w:val="0"/>
        <w:rPr>
          <w:b/>
          <w:sz w:val="24"/>
          <w:szCs w:val="24"/>
        </w:rPr>
      </w:pPr>
      <w:r>
        <w:rPr>
          <w:b/>
          <w:sz w:val="24"/>
          <w:szCs w:val="24"/>
        </w:rPr>
        <w:t>Project Summary Information</w:t>
      </w:r>
    </w:p>
    <w:p w:rsidR="00CD6A25" w:rsidRDefault="00CD6A25">
      <w:pPr>
        <w:pStyle w:val="Heading2"/>
        <w:pageBreakBefore/>
        <w:rPr>
          <w:rFonts w:asciiTheme="minorHAnsi" w:hAnsiTheme="minorHAnsi"/>
          <w:i w:val="0"/>
        </w:rPr>
        <w:sectPr w:rsidR="00CD6A25">
          <w:pgSz w:w="15840" w:h="12240" w:orient="landscape" w:code="1"/>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2302"/>
        <w:gridCol w:w="6608"/>
      </w:tblGrid>
      <w:tr w:rsidR="00CD6A25">
        <w:trPr>
          <w:cantSplit/>
        </w:trPr>
        <w:tc>
          <w:tcPr>
            <w:tcW w:w="0" w:type="auto"/>
            <w:vMerge w:val="restart"/>
          </w:tcPr>
          <w:p w:rsidR="00CD6A25" w:rsidRDefault="00000000">
            <w:r>
              <w:rPr>
                <w:b/>
              </w:rPr>
              <w:lastRenderedPageBreak/>
              <w:t>1</w:t>
            </w:r>
          </w:p>
        </w:tc>
        <w:tc>
          <w:tcPr>
            <w:tcW w:w="0" w:type="auto"/>
          </w:tcPr>
          <w:p w:rsidR="00CD6A25" w:rsidRDefault="00000000">
            <w:pPr>
              <w:keepNext/>
              <w:spacing w:before="100" w:after="0"/>
              <w:rPr>
                <w:b/>
              </w:rPr>
            </w:pPr>
            <w:r>
              <w:rPr>
                <w:b/>
              </w:rPr>
              <w:t>Project Name</w:t>
            </w:r>
          </w:p>
        </w:tc>
        <w:tc>
          <w:tcPr>
            <w:tcW w:w="0" w:type="auto"/>
          </w:tcPr>
          <w:p w:rsidR="00CD6A25" w:rsidRDefault="00000000">
            <w:pPr>
              <w:spacing w:before="100" w:after="0"/>
            </w:pPr>
            <w:r>
              <w:rPr>
                <w:color w:val="000000"/>
              </w:rPr>
              <w:t>COA Administration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Target Area</w:t>
            </w:r>
          </w:p>
        </w:tc>
        <w:tc>
          <w:tcPr>
            <w:tcW w:w="0" w:type="auto"/>
          </w:tcPr>
          <w:p w:rsidR="00CD6A25" w:rsidRDefault="00000000">
            <w:pPr>
              <w:spacing w:before="100" w:after="0"/>
            </w:pPr>
            <w:r>
              <w:rPr>
                <w:color w:val="000000"/>
              </w:rPr>
              <w:t>Citywide Investment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Goals Supported</w:t>
            </w:r>
          </w:p>
        </w:tc>
        <w:tc>
          <w:tcPr>
            <w:tcW w:w="0" w:type="auto"/>
          </w:tcPr>
          <w:p w:rsidR="00CD6A25" w:rsidRDefault="00000000">
            <w:pPr>
              <w:spacing w:before="100" w:after="0"/>
            </w:pPr>
            <w:r>
              <w:rPr>
                <w:color w:val="000000"/>
              </w:rPr>
              <w:t>Program Administration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Needs Addressed</w:t>
            </w:r>
          </w:p>
        </w:tc>
        <w:tc>
          <w:tcPr>
            <w:tcW w:w="0" w:type="auto"/>
          </w:tcPr>
          <w:p w:rsidR="00CD6A25" w:rsidRDefault="00000000">
            <w:pPr>
              <w:spacing w:before="100" w:after="0"/>
            </w:pPr>
            <w:r>
              <w:rPr>
                <w:color w:val="000000"/>
              </w:rPr>
              <w:t>Program Administration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Funding</w:t>
            </w:r>
          </w:p>
        </w:tc>
        <w:tc>
          <w:tcPr>
            <w:tcW w:w="0" w:type="auto"/>
          </w:tcPr>
          <w:p w:rsidR="00CD6A25" w:rsidRDefault="00000000">
            <w:pPr>
              <w:spacing w:before="100" w:after="0"/>
            </w:pPr>
            <w:r>
              <w:rPr>
                <w:color w:val="000000"/>
              </w:rPr>
              <w:t>CDBG: $879,144.00</w:t>
            </w:r>
            <w:r>
              <w:rPr>
                <w:color w:val="000000"/>
              </w:rPr>
              <w:br/>
              <w:t>HOME: $195,708.49</w:t>
            </w:r>
            <w:r>
              <w:rPr>
                <w:color w:val="000000"/>
              </w:rPr>
              <w:br/>
              <w:t>ESG: $25,973.29</w:t>
            </w:r>
            <w:r>
              <w:rPr>
                <w:color w:val="000000"/>
              </w:rPr>
              <w:br/>
              <w:t>General Funds: $25,973.29</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Description</w:t>
            </w:r>
          </w:p>
        </w:tc>
        <w:tc>
          <w:tcPr>
            <w:tcW w:w="0" w:type="auto"/>
          </w:tcPr>
          <w:p w:rsidR="00CD6A25" w:rsidRDefault="00000000">
            <w:pPr>
              <w:spacing w:before="100" w:after="0"/>
            </w:pPr>
            <w:r>
              <w:rPr>
                <w:color w:val="000000"/>
              </w:rPr>
              <w:t>Funds will be used for administrative costs to support the administration of HUD Community Planning and Development Programs.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Target Date</w:t>
            </w:r>
          </w:p>
        </w:tc>
        <w:tc>
          <w:tcPr>
            <w:tcW w:w="0" w:type="auto"/>
          </w:tcPr>
          <w:p w:rsidR="00CD6A25" w:rsidRDefault="00000000">
            <w:pPr>
              <w:spacing w:before="100" w:after="0"/>
            </w:pPr>
            <w:r>
              <w:rPr>
                <w:color w:val="000000"/>
              </w:rPr>
              <w:t>7/31/2026</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CD6A25" w:rsidRDefault="00000000">
            <w:pPr>
              <w:spacing w:before="100" w:after="0"/>
            </w:pPr>
            <w:r>
              <w:rPr>
                <w:color w:val="000000"/>
              </w:rPr>
              <w:t>Low to moderate income individuals will benefit from CDBG, HOME and ESG programs citywide.</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Location Description</w:t>
            </w:r>
          </w:p>
        </w:tc>
        <w:tc>
          <w:tcPr>
            <w:tcW w:w="0" w:type="auto"/>
          </w:tcPr>
          <w:p w:rsidR="00CD6A25" w:rsidRDefault="00000000">
            <w:pPr>
              <w:spacing w:before="100" w:after="0"/>
            </w:pPr>
            <w:r>
              <w:rPr>
                <w:color w:val="000000"/>
              </w:rPr>
              <w:t>Citywide</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Planned Activities</w:t>
            </w:r>
          </w:p>
        </w:tc>
        <w:tc>
          <w:tcPr>
            <w:tcW w:w="0" w:type="auto"/>
          </w:tcPr>
          <w:p w:rsidR="00CD6A25" w:rsidRDefault="00000000">
            <w:pPr>
              <w:spacing w:before="100" w:after="0"/>
            </w:pPr>
            <w:r>
              <w:rPr>
                <w:color w:val="000000"/>
              </w:rPr>
              <w:t>Administer the CDBG, HOME and ESG programs.</w:t>
            </w:r>
          </w:p>
        </w:tc>
      </w:tr>
      <w:tr w:rsidR="00CD6A25">
        <w:trPr>
          <w:cantSplit/>
        </w:trPr>
        <w:tc>
          <w:tcPr>
            <w:tcW w:w="0" w:type="auto"/>
            <w:vMerge w:val="restart"/>
          </w:tcPr>
          <w:p w:rsidR="00CD6A25" w:rsidRDefault="00000000">
            <w:r>
              <w:rPr>
                <w:b/>
              </w:rPr>
              <w:t>2</w:t>
            </w:r>
          </w:p>
        </w:tc>
        <w:tc>
          <w:tcPr>
            <w:tcW w:w="0" w:type="auto"/>
          </w:tcPr>
          <w:p w:rsidR="00CD6A25" w:rsidRDefault="00000000">
            <w:pPr>
              <w:keepNext/>
              <w:spacing w:before="100" w:after="0"/>
              <w:rPr>
                <w:b/>
              </w:rPr>
            </w:pPr>
            <w:r>
              <w:rPr>
                <w:b/>
              </w:rPr>
              <w:t>Project Name</w:t>
            </w:r>
          </w:p>
        </w:tc>
        <w:tc>
          <w:tcPr>
            <w:tcW w:w="0" w:type="auto"/>
          </w:tcPr>
          <w:p w:rsidR="00CD6A25" w:rsidRDefault="00000000">
            <w:pPr>
              <w:spacing w:before="100" w:after="0"/>
            </w:pPr>
            <w:r>
              <w:rPr>
                <w:color w:val="000000"/>
              </w:rPr>
              <w:t>Affordable Homeownership Assistance</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Target Area</w:t>
            </w:r>
          </w:p>
        </w:tc>
        <w:tc>
          <w:tcPr>
            <w:tcW w:w="0" w:type="auto"/>
          </w:tcPr>
          <w:p w:rsidR="00CD6A25" w:rsidRDefault="00000000">
            <w:pPr>
              <w:spacing w:before="100" w:after="0"/>
            </w:pPr>
            <w:r>
              <w:rPr>
                <w:color w:val="000000"/>
              </w:rPr>
              <w:t>Citywide Investment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Goals Supported</w:t>
            </w:r>
          </w:p>
        </w:tc>
        <w:tc>
          <w:tcPr>
            <w:tcW w:w="0" w:type="auto"/>
          </w:tcPr>
          <w:p w:rsidR="00CD6A25" w:rsidRDefault="00000000">
            <w:pPr>
              <w:spacing w:before="100" w:after="0"/>
            </w:pPr>
            <w:r>
              <w:rPr>
                <w:color w:val="000000"/>
              </w:rPr>
              <w:t>Affordable Homeownership Opportunities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Needs Addressed</w:t>
            </w:r>
          </w:p>
        </w:tc>
        <w:tc>
          <w:tcPr>
            <w:tcW w:w="0" w:type="auto"/>
          </w:tcPr>
          <w:p w:rsidR="00CD6A25" w:rsidRDefault="00000000">
            <w:pPr>
              <w:spacing w:before="100" w:after="0"/>
            </w:pPr>
            <w:r>
              <w:rPr>
                <w:color w:val="000000"/>
              </w:rPr>
              <w:t>AFH Factor: Affordable Homeownership Opportunities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Funding</w:t>
            </w:r>
          </w:p>
        </w:tc>
        <w:tc>
          <w:tcPr>
            <w:tcW w:w="0" w:type="auto"/>
          </w:tcPr>
          <w:p w:rsidR="00CD6A25" w:rsidRDefault="00000000">
            <w:pPr>
              <w:spacing w:before="100" w:after="0"/>
            </w:pPr>
            <w:r>
              <w:rPr>
                <w:color w:val="000000"/>
              </w:rPr>
              <w:t>CDBG: $1,300,000.00</w:t>
            </w:r>
            <w:r>
              <w:rPr>
                <w:color w:val="000000"/>
              </w:rPr>
              <w:br/>
              <w:t>HOME: $100,000.00</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Description</w:t>
            </w:r>
          </w:p>
        </w:tc>
        <w:tc>
          <w:tcPr>
            <w:tcW w:w="0" w:type="auto"/>
          </w:tcPr>
          <w:p w:rsidR="00CD6A25" w:rsidRDefault="00000000">
            <w:pPr>
              <w:spacing w:before="100" w:after="0"/>
            </w:pPr>
            <w:r>
              <w:rPr>
                <w:color w:val="000000"/>
              </w:rPr>
              <w:t xml:space="preserve">Funds will be provided to </w:t>
            </w:r>
            <w:proofErr w:type="spellStart"/>
            <w:r>
              <w:rPr>
                <w:color w:val="000000"/>
              </w:rPr>
              <w:t>Homewise</w:t>
            </w:r>
            <w:proofErr w:type="spellEnd"/>
            <w:r>
              <w:rPr>
                <w:color w:val="000000"/>
              </w:rPr>
              <w:t xml:space="preserve"> and Sawmill Community Land Trust to assist low to moderate income homebuyers purchase an affordable home.</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Target Date</w:t>
            </w:r>
          </w:p>
        </w:tc>
        <w:tc>
          <w:tcPr>
            <w:tcW w:w="0" w:type="auto"/>
          </w:tcPr>
          <w:p w:rsidR="00CD6A25" w:rsidRDefault="00000000">
            <w:pPr>
              <w:spacing w:before="100" w:after="0"/>
            </w:pPr>
            <w:r>
              <w:rPr>
                <w:color w:val="000000"/>
              </w:rPr>
              <w:t>7/31/2026</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CD6A25" w:rsidRDefault="00000000">
            <w:pPr>
              <w:spacing w:before="100" w:after="0"/>
            </w:pPr>
            <w:r>
              <w:rPr>
                <w:color w:val="000000"/>
              </w:rPr>
              <w:t>A minimum of 36 income qualified homebuyers will receive direct financial assistance to purchase a home.</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Location Description</w:t>
            </w:r>
          </w:p>
        </w:tc>
        <w:tc>
          <w:tcPr>
            <w:tcW w:w="0" w:type="auto"/>
          </w:tcPr>
          <w:p w:rsidR="00CD6A25" w:rsidRDefault="00000000">
            <w:pPr>
              <w:spacing w:before="100" w:after="0"/>
            </w:pPr>
            <w:r>
              <w:rPr>
                <w:color w:val="000000"/>
              </w:rPr>
              <w:t>Citywide</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Planned Activities</w:t>
            </w:r>
          </w:p>
        </w:tc>
        <w:tc>
          <w:tcPr>
            <w:tcW w:w="0" w:type="auto"/>
          </w:tcPr>
          <w:p w:rsidR="00CD6A25" w:rsidRDefault="00000000">
            <w:pPr>
              <w:spacing w:before="100" w:after="0"/>
            </w:pPr>
            <w:r>
              <w:rPr>
                <w:color w:val="000000"/>
              </w:rPr>
              <w:t>Assist low to moderate income homebuyers purchase an affordable home through mortgage reduction assistance. Prospective homebuyers will also receive services including counseling and financial literacy to impart budgeting skills and to encourage savings for home maintenance and emergency repairs. A portion of the funding may be used for the identification, stabilization and treatment of lead-based paint for the purchase of homes built prior to 1978.</w:t>
            </w:r>
          </w:p>
        </w:tc>
      </w:tr>
      <w:tr w:rsidR="00CD6A25">
        <w:trPr>
          <w:cantSplit/>
        </w:trPr>
        <w:tc>
          <w:tcPr>
            <w:tcW w:w="0" w:type="auto"/>
            <w:vMerge w:val="restart"/>
          </w:tcPr>
          <w:p w:rsidR="00CD6A25" w:rsidRDefault="00000000">
            <w:r>
              <w:rPr>
                <w:b/>
              </w:rPr>
              <w:t>3</w:t>
            </w:r>
          </w:p>
        </w:tc>
        <w:tc>
          <w:tcPr>
            <w:tcW w:w="0" w:type="auto"/>
          </w:tcPr>
          <w:p w:rsidR="00CD6A25" w:rsidRDefault="00000000">
            <w:pPr>
              <w:keepNext/>
              <w:spacing w:before="100" w:after="0"/>
              <w:rPr>
                <w:b/>
              </w:rPr>
            </w:pPr>
            <w:r>
              <w:rPr>
                <w:b/>
              </w:rPr>
              <w:t>Project Name</w:t>
            </w:r>
          </w:p>
        </w:tc>
        <w:tc>
          <w:tcPr>
            <w:tcW w:w="0" w:type="auto"/>
          </w:tcPr>
          <w:p w:rsidR="00CD6A25" w:rsidRDefault="00000000">
            <w:pPr>
              <w:spacing w:before="100" w:after="0"/>
            </w:pPr>
            <w:r>
              <w:rPr>
                <w:color w:val="000000"/>
              </w:rPr>
              <w:t>Affordable Housing Development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Target Area</w:t>
            </w:r>
          </w:p>
        </w:tc>
        <w:tc>
          <w:tcPr>
            <w:tcW w:w="0" w:type="auto"/>
          </w:tcPr>
          <w:p w:rsidR="00CD6A25" w:rsidRDefault="00000000">
            <w:pPr>
              <w:spacing w:before="100" w:after="0"/>
            </w:pPr>
            <w:r>
              <w:rPr>
                <w:color w:val="000000"/>
              </w:rPr>
              <w:t>Citywide Investment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Goals Supported</w:t>
            </w:r>
          </w:p>
        </w:tc>
        <w:tc>
          <w:tcPr>
            <w:tcW w:w="0" w:type="auto"/>
          </w:tcPr>
          <w:p w:rsidR="00CD6A25" w:rsidRDefault="00000000">
            <w:pPr>
              <w:spacing w:before="100" w:after="0"/>
            </w:pPr>
            <w:r>
              <w:rPr>
                <w:color w:val="000000"/>
              </w:rPr>
              <w:t>Affordable Housing Development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Needs Addressed</w:t>
            </w:r>
          </w:p>
        </w:tc>
        <w:tc>
          <w:tcPr>
            <w:tcW w:w="0" w:type="auto"/>
          </w:tcPr>
          <w:p w:rsidR="00CD6A25" w:rsidRDefault="00000000">
            <w:pPr>
              <w:spacing w:before="100" w:after="0"/>
            </w:pPr>
            <w:r>
              <w:rPr>
                <w:color w:val="000000"/>
              </w:rPr>
              <w:t>AFH Factor: Affordable Housing Development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Funding</w:t>
            </w:r>
          </w:p>
        </w:tc>
        <w:tc>
          <w:tcPr>
            <w:tcW w:w="0" w:type="auto"/>
          </w:tcPr>
          <w:p w:rsidR="00CD6A25" w:rsidRDefault="00000000">
            <w:pPr>
              <w:spacing w:before="100" w:after="0"/>
            </w:pPr>
            <w:r>
              <w:rPr>
                <w:color w:val="000000"/>
              </w:rPr>
              <w:t>HOME: $1,300,003.84</w:t>
            </w:r>
            <w:r>
              <w:rPr>
                <w:color w:val="000000"/>
              </w:rPr>
              <w:br/>
              <w:t>General Funds: $364,271.22</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Description</w:t>
            </w:r>
          </w:p>
        </w:tc>
        <w:tc>
          <w:tcPr>
            <w:tcW w:w="0" w:type="auto"/>
          </w:tcPr>
          <w:p w:rsidR="00CD6A25" w:rsidRDefault="00000000">
            <w:pPr>
              <w:spacing w:before="100" w:after="0"/>
            </w:pPr>
            <w:r>
              <w:rPr>
                <w:color w:val="000000"/>
              </w:rPr>
              <w:t>Projects funded under this category will be provided assistance to develop affordable housing units, either rental or homeownership, for low- and moderate-income households, either through development or acquisition and rehabilitation.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Target Date</w:t>
            </w:r>
          </w:p>
        </w:tc>
        <w:tc>
          <w:tcPr>
            <w:tcW w:w="0" w:type="auto"/>
          </w:tcPr>
          <w:p w:rsidR="00CD6A25" w:rsidRDefault="00000000">
            <w:pPr>
              <w:spacing w:before="100" w:after="0"/>
            </w:pPr>
            <w:r>
              <w:rPr>
                <w:color w:val="000000"/>
              </w:rPr>
              <w:t>7/31/2028</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CD6A25" w:rsidRDefault="00000000">
            <w:pPr>
              <w:spacing w:before="100" w:after="0"/>
            </w:pPr>
            <w:r>
              <w:rPr>
                <w:color w:val="000000"/>
              </w:rPr>
              <w:t>Approximately 60 new rental housing units will be developed with the funding. Due to development activities being multi-year projects, this benefit will not be realized during the program year.</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Location Description</w:t>
            </w:r>
          </w:p>
        </w:tc>
        <w:tc>
          <w:tcPr>
            <w:tcW w:w="0" w:type="auto"/>
          </w:tcPr>
          <w:p w:rsidR="00CD6A25" w:rsidRDefault="00000000">
            <w:pPr>
              <w:spacing w:before="100" w:after="0"/>
            </w:pPr>
            <w:r>
              <w:rPr>
                <w:color w:val="000000"/>
              </w:rPr>
              <w:t>TBD – an RFP will be issued for proposals for PY 2025 funds. Developments funded with PY 2025 funds will have accomplishments that will be realized in future years. This is due to the fact that development activities are multi-year projects. </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Planned Activities</w:t>
            </w:r>
          </w:p>
        </w:tc>
        <w:tc>
          <w:tcPr>
            <w:tcW w:w="0" w:type="auto"/>
          </w:tcPr>
          <w:p w:rsidR="00CD6A25" w:rsidRDefault="00000000">
            <w:pPr>
              <w:spacing w:before="100" w:after="0"/>
            </w:pPr>
            <w:r>
              <w:rPr>
                <w:color w:val="000000"/>
              </w:rPr>
              <w:t>Provide funding to assist in the development of affordable housing units, either rental or homeownership, for low to moderate income individuals, either through development or acquisition and rehabilitation.</w:t>
            </w:r>
          </w:p>
        </w:tc>
      </w:tr>
      <w:tr w:rsidR="00CD6A25">
        <w:trPr>
          <w:cantSplit/>
        </w:trPr>
        <w:tc>
          <w:tcPr>
            <w:tcW w:w="0" w:type="auto"/>
            <w:vMerge w:val="restart"/>
          </w:tcPr>
          <w:p w:rsidR="00CD6A25" w:rsidRDefault="00000000">
            <w:r>
              <w:rPr>
                <w:b/>
              </w:rPr>
              <w:t>4</w:t>
            </w:r>
          </w:p>
        </w:tc>
        <w:tc>
          <w:tcPr>
            <w:tcW w:w="0" w:type="auto"/>
          </w:tcPr>
          <w:p w:rsidR="00CD6A25" w:rsidRDefault="00000000">
            <w:pPr>
              <w:keepNext/>
              <w:spacing w:before="100" w:after="0"/>
              <w:rPr>
                <w:b/>
              </w:rPr>
            </w:pPr>
            <w:r>
              <w:rPr>
                <w:b/>
              </w:rPr>
              <w:t>Project Name</w:t>
            </w:r>
          </w:p>
        </w:tc>
        <w:tc>
          <w:tcPr>
            <w:tcW w:w="0" w:type="auto"/>
          </w:tcPr>
          <w:p w:rsidR="00CD6A25" w:rsidRDefault="00000000">
            <w:pPr>
              <w:spacing w:before="100" w:after="0"/>
            </w:pPr>
            <w:r>
              <w:rPr>
                <w:color w:val="000000"/>
              </w:rPr>
              <w:t>CHDO Operating</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Target Area</w:t>
            </w:r>
          </w:p>
        </w:tc>
        <w:tc>
          <w:tcPr>
            <w:tcW w:w="0" w:type="auto"/>
          </w:tcPr>
          <w:p w:rsidR="00CD6A25" w:rsidRDefault="00000000">
            <w:pPr>
              <w:spacing w:before="100" w:after="0"/>
            </w:pPr>
            <w:r>
              <w:rPr>
                <w:color w:val="000000"/>
              </w:rPr>
              <w:t>Citywide Investment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Goals Supported</w:t>
            </w:r>
          </w:p>
        </w:tc>
        <w:tc>
          <w:tcPr>
            <w:tcW w:w="0" w:type="auto"/>
          </w:tcPr>
          <w:p w:rsidR="00CD6A25" w:rsidRDefault="00000000">
            <w:pPr>
              <w:spacing w:before="100" w:after="0"/>
            </w:pPr>
            <w:r>
              <w:rPr>
                <w:color w:val="000000"/>
              </w:rPr>
              <w:t>Affordable Housing Development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Needs Addressed</w:t>
            </w:r>
          </w:p>
        </w:tc>
        <w:tc>
          <w:tcPr>
            <w:tcW w:w="0" w:type="auto"/>
          </w:tcPr>
          <w:p w:rsidR="00CD6A25" w:rsidRDefault="00000000">
            <w:pPr>
              <w:spacing w:before="100" w:after="0"/>
            </w:pPr>
            <w:r>
              <w:rPr>
                <w:color w:val="000000"/>
              </w:rPr>
              <w:t>AFH Factor: Affordable Housing Development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Funding</w:t>
            </w:r>
          </w:p>
        </w:tc>
        <w:tc>
          <w:tcPr>
            <w:tcW w:w="0" w:type="auto"/>
          </w:tcPr>
          <w:p w:rsidR="00CD6A25" w:rsidRDefault="00000000">
            <w:pPr>
              <w:spacing w:before="100" w:after="0"/>
            </w:pPr>
            <w:r>
              <w:rPr>
                <w:color w:val="000000"/>
              </w:rPr>
              <w:t>HOME: $50,000.00</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Description</w:t>
            </w:r>
          </w:p>
        </w:tc>
        <w:tc>
          <w:tcPr>
            <w:tcW w:w="0" w:type="auto"/>
          </w:tcPr>
          <w:p w:rsidR="00CD6A25" w:rsidRDefault="00000000">
            <w:pPr>
              <w:spacing w:before="100" w:after="0"/>
            </w:pPr>
            <w:r>
              <w:rPr>
                <w:color w:val="000000"/>
              </w:rPr>
              <w:t xml:space="preserve">Funds will be provided to Sol Housing, </w:t>
            </w:r>
            <w:proofErr w:type="spellStart"/>
            <w:r>
              <w:rPr>
                <w:color w:val="000000"/>
              </w:rPr>
              <w:t>fka</w:t>
            </w:r>
            <w:proofErr w:type="spellEnd"/>
            <w:r>
              <w:rPr>
                <w:color w:val="000000"/>
              </w:rPr>
              <w:t xml:space="preserve"> Greater Albuquerque Housing Partnership (GAHP), a Community Housing Development Organization (CHDO), to assist with operating costs incurred implementing housing activities.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Target Date</w:t>
            </w:r>
          </w:p>
        </w:tc>
        <w:tc>
          <w:tcPr>
            <w:tcW w:w="0" w:type="auto"/>
          </w:tcPr>
          <w:p w:rsidR="00CD6A25" w:rsidRDefault="00000000">
            <w:pPr>
              <w:spacing w:before="100" w:after="0"/>
            </w:pPr>
            <w:r>
              <w:rPr>
                <w:color w:val="000000"/>
              </w:rPr>
              <w:t>7/31/2026</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CD6A25" w:rsidRDefault="00000000">
            <w:pPr>
              <w:spacing w:before="100" w:after="0"/>
            </w:pPr>
            <w:r>
              <w:rPr>
                <w:color w:val="000000"/>
              </w:rPr>
              <w:t>Funds will be provided to a Community Housing Development Organization (CHDO) to assist with operating costs incurred implementing housing activities.</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Location Description</w:t>
            </w:r>
          </w:p>
        </w:tc>
        <w:tc>
          <w:tcPr>
            <w:tcW w:w="0" w:type="auto"/>
          </w:tcPr>
          <w:p w:rsidR="00CD6A25" w:rsidRDefault="00000000">
            <w:pPr>
              <w:spacing w:before="100" w:after="0"/>
            </w:pPr>
            <w:r>
              <w:rPr>
                <w:color w:val="000000"/>
              </w:rPr>
              <w:t>HOME funded affordable housing projects throughout the city.</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Planned Activities</w:t>
            </w:r>
          </w:p>
        </w:tc>
        <w:tc>
          <w:tcPr>
            <w:tcW w:w="0" w:type="auto"/>
          </w:tcPr>
          <w:p w:rsidR="00CD6A25" w:rsidRDefault="00000000">
            <w:pPr>
              <w:spacing w:before="100" w:after="0"/>
            </w:pPr>
            <w:r>
              <w:rPr>
                <w:color w:val="000000"/>
              </w:rPr>
              <w:t>The funding is used to assist with operating costs incurred while implementing affordable housing activities.</w:t>
            </w:r>
          </w:p>
        </w:tc>
      </w:tr>
      <w:tr w:rsidR="00CD6A25">
        <w:trPr>
          <w:cantSplit/>
        </w:trPr>
        <w:tc>
          <w:tcPr>
            <w:tcW w:w="0" w:type="auto"/>
            <w:vMerge w:val="restart"/>
          </w:tcPr>
          <w:p w:rsidR="00CD6A25" w:rsidRDefault="00000000">
            <w:r>
              <w:rPr>
                <w:b/>
              </w:rPr>
              <w:t>5</w:t>
            </w:r>
          </w:p>
        </w:tc>
        <w:tc>
          <w:tcPr>
            <w:tcW w:w="0" w:type="auto"/>
          </w:tcPr>
          <w:p w:rsidR="00CD6A25" w:rsidRDefault="00000000">
            <w:pPr>
              <w:keepNext/>
              <w:spacing w:before="100" w:after="0"/>
              <w:rPr>
                <w:b/>
              </w:rPr>
            </w:pPr>
            <w:r>
              <w:rPr>
                <w:b/>
              </w:rPr>
              <w:t>Project Name</w:t>
            </w:r>
          </w:p>
        </w:tc>
        <w:tc>
          <w:tcPr>
            <w:tcW w:w="0" w:type="auto"/>
          </w:tcPr>
          <w:p w:rsidR="00CD6A25" w:rsidRDefault="00000000">
            <w:pPr>
              <w:spacing w:before="100" w:after="0"/>
            </w:pPr>
            <w:r>
              <w:rPr>
                <w:color w:val="000000"/>
              </w:rPr>
              <w:t>Tenant Based Rental Assistance (TBRA)</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Target Area</w:t>
            </w:r>
          </w:p>
        </w:tc>
        <w:tc>
          <w:tcPr>
            <w:tcW w:w="0" w:type="auto"/>
          </w:tcPr>
          <w:p w:rsidR="00CD6A25" w:rsidRDefault="00000000">
            <w:pPr>
              <w:spacing w:before="100" w:after="0"/>
            </w:pPr>
            <w:r>
              <w:rPr>
                <w:color w:val="000000"/>
              </w:rPr>
              <w:t>Citywide Investment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Goals Supported</w:t>
            </w:r>
          </w:p>
        </w:tc>
        <w:tc>
          <w:tcPr>
            <w:tcW w:w="0" w:type="auto"/>
          </w:tcPr>
          <w:p w:rsidR="00CD6A25" w:rsidRDefault="00000000">
            <w:pPr>
              <w:spacing w:before="100" w:after="0"/>
            </w:pPr>
            <w:r>
              <w:rPr>
                <w:color w:val="000000"/>
              </w:rPr>
              <w:t>Homeless Prevention Programs</w:t>
            </w:r>
            <w:r>
              <w:rPr>
                <w:color w:val="000000"/>
              </w:rPr>
              <w:br/>
              <w:t>Homeless Services and Programs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Needs Addressed</w:t>
            </w:r>
          </w:p>
        </w:tc>
        <w:tc>
          <w:tcPr>
            <w:tcW w:w="0" w:type="auto"/>
          </w:tcPr>
          <w:p w:rsidR="00CD6A25" w:rsidRDefault="00000000">
            <w:pPr>
              <w:spacing w:before="100" w:after="0"/>
            </w:pPr>
            <w:r>
              <w:rPr>
                <w:color w:val="000000"/>
              </w:rPr>
              <w:t>AFH Factor: Homeless Prevention Programs</w:t>
            </w:r>
            <w:r>
              <w:rPr>
                <w:color w:val="000000"/>
              </w:rPr>
              <w:br/>
              <w:t>Homeless Services and Programs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Funding</w:t>
            </w:r>
          </w:p>
        </w:tc>
        <w:tc>
          <w:tcPr>
            <w:tcW w:w="0" w:type="auto"/>
          </w:tcPr>
          <w:p w:rsidR="00CD6A25" w:rsidRDefault="00000000">
            <w:pPr>
              <w:spacing w:before="100" w:after="0"/>
            </w:pPr>
            <w:r>
              <w:rPr>
                <w:color w:val="000000"/>
              </w:rPr>
              <w:t>HOME: $411,372.55</w:t>
            </w:r>
            <w:r>
              <w:rPr>
                <w:color w:val="000000"/>
              </w:rPr>
              <w:br/>
              <w:t>General Funds: $125,000.00</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Description</w:t>
            </w:r>
          </w:p>
        </w:tc>
        <w:tc>
          <w:tcPr>
            <w:tcW w:w="0" w:type="auto"/>
          </w:tcPr>
          <w:p w:rsidR="00CD6A25" w:rsidRDefault="00000000">
            <w:pPr>
              <w:spacing w:before="100" w:after="0"/>
            </w:pPr>
            <w:r>
              <w:rPr>
                <w:color w:val="000000"/>
              </w:rPr>
              <w:t>Funds will be provided to Enlace for Tenant Based Rental Assistance activities. At-risk populations will be served with these funds.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Target Date</w:t>
            </w:r>
          </w:p>
        </w:tc>
        <w:tc>
          <w:tcPr>
            <w:tcW w:w="0" w:type="auto"/>
          </w:tcPr>
          <w:p w:rsidR="00CD6A25" w:rsidRDefault="00000000">
            <w:pPr>
              <w:spacing w:before="100" w:after="0"/>
            </w:pPr>
            <w:r>
              <w:rPr>
                <w:color w:val="000000"/>
              </w:rPr>
              <w:t>7/31/2027</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CD6A25" w:rsidRDefault="00000000">
            <w:pPr>
              <w:spacing w:before="100" w:after="0"/>
            </w:pPr>
            <w:r>
              <w:rPr>
                <w:color w:val="000000"/>
              </w:rPr>
              <w:t>20 at-risk households will benefit from this activity.</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Location Description</w:t>
            </w:r>
          </w:p>
        </w:tc>
        <w:tc>
          <w:tcPr>
            <w:tcW w:w="0" w:type="auto"/>
          </w:tcPr>
          <w:p w:rsidR="00CD6A25" w:rsidRDefault="00000000">
            <w:pPr>
              <w:spacing w:before="100" w:after="0"/>
            </w:pPr>
            <w:r>
              <w:rPr>
                <w:color w:val="000000"/>
              </w:rPr>
              <w:t>Citywide</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Planned Activities</w:t>
            </w:r>
          </w:p>
        </w:tc>
        <w:tc>
          <w:tcPr>
            <w:tcW w:w="0" w:type="auto"/>
          </w:tcPr>
          <w:p w:rsidR="00CD6A25" w:rsidRDefault="00000000">
            <w:pPr>
              <w:spacing w:before="100" w:after="0"/>
            </w:pPr>
            <w:r>
              <w:rPr>
                <w:color w:val="000000"/>
              </w:rPr>
              <w:t>Provide Tenant Based Rental Assistance along with supportive services to at-risk households.</w:t>
            </w:r>
          </w:p>
        </w:tc>
      </w:tr>
      <w:tr w:rsidR="00CD6A25">
        <w:trPr>
          <w:cantSplit/>
        </w:trPr>
        <w:tc>
          <w:tcPr>
            <w:tcW w:w="0" w:type="auto"/>
            <w:vMerge w:val="restart"/>
          </w:tcPr>
          <w:p w:rsidR="00CD6A25" w:rsidRDefault="00000000">
            <w:r>
              <w:rPr>
                <w:b/>
              </w:rPr>
              <w:lastRenderedPageBreak/>
              <w:t>6</w:t>
            </w:r>
          </w:p>
        </w:tc>
        <w:tc>
          <w:tcPr>
            <w:tcW w:w="0" w:type="auto"/>
          </w:tcPr>
          <w:p w:rsidR="00CD6A25" w:rsidRDefault="00000000">
            <w:pPr>
              <w:keepNext/>
              <w:spacing w:before="100" w:after="0"/>
              <w:rPr>
                <w:b/>
              </w:rPr>
            </w:pPr>
            <w:r>
              <w:rPr>
                <w:b/>
              </w:rPr>
              <w:t>Project Name</w:t>
            </w:r>
          </w:p>
        </w:tc>
        <w:tc>
          <w:tcPr>
            <w:tcW w:w="0" w:type="auto"/>
          </w:tcPr>
          <w:p w:rsidR="00CD6A25" w:rsidRDefault="00000000">
            <w:pPr>
              <w:spacing w:before="100" w:after="0"/>
            </w:pPr>
            <w:r>
              <w:rPr>
                <w:color w:val="000000"/>
              </w:rPr>
              <w:t>Public Facilities &amp; Infrastructure   Affordable Housing Infrastructure</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Target Area</w:t>
            </w:r>
          </w:p>
        </w:tc>
        <w:tc>
          <w:tcPr>
            <w:tcW w:w="0" w:type="auto"/>
          </w:tcPr>
          <w:p w:rsidR="00CD6A25" w:rsidRDefault="00000000">
            <w:pPr>
              <w:spacing w:before="100" w:after="0"/>
            </w:pPr>
            <w:r>
              <w:rPr>
                <w:color w:val="000000"/>
              </w:rPr>
              <w:t>Citywide Investment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Goals Supported</w:t>
            </w:r>
          </w:p>
        </w:tc>
        <w:tc>
          <w:tcPr>
            <w:tcW w:w="0" w:type="auto"/>
          </w:tcPr>
          <w:p w:rsidR="00CD6A25" w:rsidRDefault="00000000">
            <w:pPr>
              <w:spacing w:before="100" w:after="0"/>
            </w:pPr>
            <w:r>
              <w:rPr>
                <w:color w:val="000000"/>
              </w:rPr>
              <w:t>Public Facilities and Infrastructure</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Needs Addressed</w:t>
            </w:r>
          </w:p>
        </w:tc>
        <w:tc>
          <w:tcPr>
            <w:tcW w:w="0" w:type="auto"/>
          </w:tcPr>
          <w:p w:rsidR="00CD6A25" w:rsidRDefault="00000000">
            <w:pPr>
              <w:spacing w:before="100" w:after="0"/>
            </w:pPr>
            <w:r>
              <w:rPr>
                <w:color w:val="000000"/>
              </w:rPr>
              <w:t>Public Facilities and Infrastructure</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Funding</w:t>
            </w:r>
          </w:p>
        </w:tc>
        <w:tc>
          <w:tcPr>
            <w:tcW w:w="0" w:type="auto"/>
          </w:tcPr>
          <w:p w:rsidR="00CD6A25" w:rsidRDefault="00000000">
            <w:pPr>
              <w:spacing w:before="100" w:after="0"/>
            </w:pPr>
            <w:r>
              <w:rPr>
                <w:color w:val="000000"/>
              </w:rPr>
              <w:t>CDBG: $613,028.50</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Description</w:t>
            </w:r>
          </w:p>
        </w:tc>
        <w:tc>
          <w:tcPr>
            <w:tcW w:w="0" w:type="auto"/>
          </w:tcPr>
          <w:p w:rsidR="00CD6A25" w:rsidRDefault="00000000">
            <w:pPr>
              <w:spacing w:before="100" w:after="0"/>
            </w:pPr>
            <w:r>
              <w:rPr>
                <w:color w:val="000000"/>
              </w:rPr>
              <w:t>Funds will be provided to Family Housing Development Corporation (FHDC) for infrastructure improvements to support the development of the Uptown Connect affordable housing project.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Target Date</w:t>
            </w:r>
          </w:p>
        </w:tc>
        <w:tc>
          <w:tcPr>
            <w:tcW w:w="0" w:type="auto"/>
          </w:tcPr>
          <w:p w:rsidR="00CD6A25" w:rsidRDefault="00000000">
            <w:pPr>
              <w:spacing w:before="100" w:after="0"/>
            </w:pPr>
            <w:r>
              <w:rPr>
                <w:color w:val="000000"/>
              </w:rPr>
              <w:t>7/31/2026</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CD6A25" w:rsidRDefault="00000000">
            <w:pPr>
              <w:spacing w:before="100" w:after="0"/>
            </w:pPr>
            <w:r>
              <w:rPr>
                <w:color w:val="000000"/>
              </w:rPr>
              <w:t>203 low- to moderate-income households will benefit from the infrastructure improvements at the Uptown Connect Affordable Housing development.</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Location Description</w:t>
            </w:r>
          </w:p>
        </w:tc>
        <w:tc>
          <w:tcPr>
            <w:tcW w:w="0" w:type="auto"/>
          </w:tcPr>
          <w:p w:rsidR="00CD6A25" w:rsidRDefault="00000000">
            <w:pPr>
              <w:spacing w:before="100" w:after="0"/>
            </w:pPr>
            <w:r>
              <w:rPr>
                <w:color w:val="000000"/>
              </w:rPr>
              <w:t>The Uptown Connect Affordable Housing Development is located at America's Parkway and Uptown Blvd NE.</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Planned Activities</w:t>
            </w:r>
          </w:p>
        </w:tc>
        <w:tc>
          <w:tcPr>
            <w:tcW w:w="0" w:type="auto"/>
          </w:tcPr>
          <w:p w:rsidR="00CD6A25" w:rsidRDefault="00000000">
            <w:pPr>
              <w:spacing w:before="100" w:after="0"/>
            </w:pPr>
            <w:r>
              <w:rPr>
                <w:color w:val="000000"/>
              </w:rPr>
              <w:t>Family Housing Development Corporation will utilize the funds for infrastructure improvements to support the development of the Uptown Connect affordable housing project. </w:t>
            </w:r>
          </w:p>
        </w:tc>
      </w:tr>
      <w:tr w:rsidR="00CD6A25">
        <w:trPr>
          <w:cantSplit/>
        </w:trPr>
        <w:tc>
          <w:tcPr>
            <w:tcW w:w="0" w:type="auto"/>
            <w:vMerge w:val="restart"/>
          </w:tcPr>
          <w:p w:rsidR="00CD6A25" w:rsidRDefault="00000000">
            <w:r>
              <w:rPr>
                <w:b/>
              </w:rPr>
              <w:t>7</w:t>
            </w:r>
          </w:p>
        </w:tc>
        <w:tc>
          <w:tcPr>
            <w:tcW w:w="0" w:type="auto"/>
          </w:tcPr>
          <w:p w:rsidR="00CD6A25" w:rsidRDefault="00000000">
            <w:pPr>
              <w:keepNext/>
              <w:spacing w:before="100" w:after="0"/>
              <w:rPr>
                <w:b/>
              </w:rPr>
            </w:pPr>
            <w:r>
              <w:rPr>
                <w:b/>
              </w:rPr>
              <w:t>Project Name</w:t>
            </w:r>
          </w:p>
        </w:tc>
        <w:tc>
          <w:tcPr>
            <w:tcW w:w="0" w:type="auto"/>
          </w:tcPr>
          <w:p w:rsidR="00CD6A25" w:rsidRDefault="00000000">
            <w:pPr>
              <w:spacing w:before="100" w:after="0"/>
            </w:pPr>
            <w:r>
              <w:rPr>
                <w:color w:val="000000"/>
              </w:rPr>
              <w:t>Affordable Housing Preservation - Rental - Greywater System</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Target Area</w:t>
            </w:r>
          </w:p>
        </w:tc>
        <w:tc>
          <w:tcPr>
            <w:tcW w:w="0" w:type="auto"/>
          </w:tcPr>
          <w:p w:rsidR="00CD6A25" w:rsidRDefault="00000000">
            <w:pPr>
              <w:spacing w:before="100" w:after="0"/>
            </w:pPr>
            <w:r>
              <w:rPr>
                <w:color w:val="000000"/>
              </w:rPr>
              <w:t>Citywide Investment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Goals Supported</w:t>
            </w:r>
          </w:p>
        </w:tc>
        <w:tc>
          <w:tcPr>
            <w:tcW w:w="0" w:type="auto"/>
          </w:tcPr>
          <w:p w:rsidR="00CD6A25" w:rsidRDefault="00000000">
            <w:pPr>
              <w:spacing w:before="100" w:after="0"/>
            </w:pPr>
            <w:r>
              <w:rPr>
                <w:color w:val="000000"/>
              </w:rPr>
              <w:t>Affordable Housing Preservation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Needs Addressed</w:t>
            </w:r>
          </w:p>
        </w:tc>
        <w:tc>
          <w:tcPr>
            <w:tcW w:w="0" w:type="auto"/>
          </w:tcPr>
          <w:p w:rsidR="00CD6A25" w:rsidRDefault="00000000">
            <w:pPr>
              <w:spacing w:before="100" w:after="0"/>
            </w:pPr>
            <w:r>
              <w:rPr>
                <w:color w:val="000000"/>
              </w:rPr>
              <w:t>AFH Factor: Affordable Housing Preservation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Funding</w:t>
            </w:r>
          </w:p>
        </w:tc>
        <w:tc>
          <w:tcPr>
            <w:tcW w:w="0" w:type="auto"/>
          </w:tcPr>
          <w:p w:rsidR="00CD6A25" w:rsidRDefault="00000000">
            <w:pPr>
              <w:spacing w:before="100" w:after="0"/>
            </w:pPr>
            <w:r>
              <w:rPr>
                <w:color w:val="000000"/>
              </w:rPr>
              <w:t>CDBG: $200,000.00</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Description</w:t>
            </w:r>
          </w:p>
        </w:tc>
        <w:tc>
          <w:tcPr>
            <w:tcW w:w="0" w:type="auto"/>
          </w:tcPr>
          <w:p w:rsidR="00CD6A25" w:rsidRDefault="00000000">
            <w:pPr>
              <w:spacing w:before="100" w:after="0"/>
            </w:pPr>
            <w:r>
              <w:rPr>
                <w:color w:val="000000"/>
              </w:rPr>
              <w:t>Funds will be utilized by Sol Housing to repair/replace the greywater system at an affordable housing development.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Target Date</w:t>
            </w:r>
          </w:p>
        </w:tc>
        <w:tc>
          <w:tcPr>
            <w:tcW w:w="0" w:type="auto"/>
          </w:tcPr>
          <w:p w:rsidR="00CD6A25" w:rsidRDefault="00000000">
            <w:pPr>
              <w:spacing w:before="100" w:after="0"/>
            </w:pPr>
            <w:r>
              <w:rPr>
                <w:color w:val="000000"/>
              </w:rPr>
              <w:t>7/31/2026</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CD6A25" w:rsidRDefault="00000000">
            <w:pPr>
              <w:spacing w:before="100" w:after="0"/>
            </w:pPr>
            <w:r>
              <w:rPr>
                <w:color w:val="000000"/>
              </w:rPr>
              <w:t>72 low-income households will benefit from the preservation of the affordable housing development.</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Location Description</w:t>
            </w:r>
          </w:p>
        </w:tc>
        <w:tc>
          <w:tcPr>
            <w:tcW w:w="0" w:type="auto"/>
          </w:tcPr>
          <w:p w:rsidR="00CD6A25" w:rsidRDefault="00000000">
            <w:pPr>
              <w:spacing w:before="100" w:after="0"/>
            </w:pPr>
            <w:r>
              <w:rPr>
                <w:color w:val="000000"/>
              </w:rPr>
              <w:t>Downtown 700 is located at 700 2nd St NW.</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Planned Activities</w:t>
            </w:r>
          </w:p>
        </w:tc>
        <w:tc>
          <w:tcPr>
            <w:tcW w:w="0" w:type="auto"/>
          </w:tcPr>
          <w:p w:rsidR="00CD6A25" w:rsidRDefault="00000000">
            <w:pPr>
              <w:spacing w:before="100" w:after="0"/>
            </w:pPr>
            <w:r>
              <w:rPr>
                <w:color w:val="000000"/>
              </w:rPr>
              <w:t>Funds will be provided to Sol Housing for repair/replacement of the greywater system in the Downtown @ 700 affordable housing development.</w:t>
            </w:r>
          </w:p>
        </w:tc>
      </w:tr>
      <w:tr w:rsidR="00CD6A25">
        <w:trPr>
          <w:cantSplit/>
        </w:trPr>
        <w:tc>
          <w:tcPr>
            <w:tcW w:w="0" w:type="auto"/>
            <w:vMerge w:val="restart"/>
          </w:tcPr>
          <w:p w:rsidR="00CD6A25" w:rsidRDefault="00000000">
            <w:r>
              <w:rPr>
                <w:b/>
              </w:rPr>
              <w:t>8</w:t>
            </w:r>
          </w:p>
        </w:tc>
        <w:tc>
          <w:tcPr>
            <w:tcW w:w="0" w:type="auto"/>
          </w:tcPr>
          <w:p w:rsidR="00CD6A25" w:rsidRDefault="00000000">
            <w:pPr>
              <w:keepNext/>
              <w:spacing w:before="100" w:after="0"/>
              <w:rPr>
                <w:b/>
              </w:rPr>
            </w:pPr>
            <w:r>
              <w:rPr>
                <w:b/>
              </w:rPr>
              <w:t>Project Name</w:t>
            </w:r>
          </w:p>
        </w:tc>
        <w:tc>
          <w:tcPr>
            <w:tcW w:w="0" w:type="auto"/>
          </w:tcPr>
          <w:p w:rsidR="00CD6A25" w:rsidRDefault="00000000">
            <w:pPr>
              <w:spacing w:before="100" w:after="0"/>
            </w:pPr>
            <w:r>
              <w:rPr>
                <w:color w:val="000000"/>
              </w:rPr>
              <w:t>Affordable Housing Preservation - Rental - Security Updates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Target Area</w:t>
            </w:r>
          </w:p>
        </w:tc>
        <w:tc>
          <w:tcPr>
            <w:tcW w:w="0" w:type="auto"/>
          </w:tcPr>
          <w:p w:rsidR="00CD6A25" w:rsidRDefault="00000000">
            <w:pPr>
              <w:spacing w:before="100" w:after="0"/>
            </w:pPr>
            <w:r>
              <w:rPr>
                <w:color w:val="000000"/>
              </w:rPr>
              <w:t>Citywide Investment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Goals Supported</w:t>
            </w:r>
          </w:p>
        </w:tc>
        <w:tc>
          <w:tcPr>
            <w:tcW w:w="0" w:type="auto"/>
          </w:tcPr>
          <w:p w:rsidR="00CD6A25" w:rsidRDefault="00000000">
            <w:pPr>
              <w:spacing w:before="100" w:after="0"/>
            </w:pPr>
            <w:r>
              <w:rPr>
                <w:color w:val="000000"/>
              </w:rPr>
              <w:t>Affordable Housing Preservation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Needs Addressed</w:t>
            </w:r>
          </w:p>
        </w:tc>
        <w:tc>
          <w:tcPr>
            <w:tcW w:w="0" w:type="auto"/>
          </w:tcPr>
          <w:p w:rsidR="00CD6A25" w:rsidRDefault="00000000">
            <w:pPr>
              <w:spacing w:before="100" w:after="0"/>
            </w:pPr>
            <w:r>
              <w:rPr>
                <w:color w:val="000000"/>
              </w:rPr>
              <w:t>AFH Factor: Affordable Housing Preservation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Funding</w:t>
            </w:r>
          </w:p>
        </w:tc>
        <w:tc>
          <w:tcPr>
            <w:tcW w:w="0" w:type="auto"/>
          </w:tcPr>
          <w:p w:rsidR="00CD6A25" w:rsidRDefault="00000000">
            <w:pPr>
              <w:spacing w:before="100" w:after="0"/>
            </w:pPr>
            <w:r>
              <w:rPr>
                <w:color w:val="000000"/>
              </w:rPr>
              <w:t>CDBG: $765,189.50</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Description</w:t>
            </w:r>
          </w:p>
        </w:tc>
        <w:tc>
          <w:tcPr>
            <w:tcW w:w="0" w:type="auto"/>
          </w:tcPr>
          <w:p w:rsidR="00CD6A25" w:rsidRDefault="00000000">
            <w:pPr>
              <w:spacing w:before="100" w:after="0"/>
            </w:pPr>
            <w:r>
              <w:rPr>
                <w:color w:val="000000"/>
              </w:rPr>
              <w:t>Funds will be utilized by La Vida Nueva Housing to upgrade the security features at an affordable housing development, per the City's ADAPT Program.</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Target Date</w:t>
            </w:r>
          </w:p>
        </w:tc>
        <w:tc>
          <w:tcPr>
            <w:tcW w:w="0" w:type="auto"/>
          </w:tcPr>
          <w:p w:rsidR="00CD6A25" w:rsidRDefault="00000000">
            <w:pPr>
              <w:spacing w:before="100" w:after="0"/>
            </w:pPr>
            <w:r>
              <w:rPr>
                <w:color w:val="000000"/>
              </w:rPr>
              <w:t>7/31/2026</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CD6A25" w:rsidRDefault="00000000">
            <w:pPr>
              <w:spacing w:before="100" w:after="0"/>
            </w:pPr>
            <w:r>
              <w:rPr>
                <w:color w:val="000000"/>
              </w:rPr>
              <w:t>316 low- to moderate-income households will benefit from the security updates/upgrades at La Vida Nueva. </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Location Description</w:t>
            </w:r>
          </w:p>
        </w:tc>
        <w:tc>
          <w:tcPr>
            <w:tcW w:w="0" w:type="auto"/>
          </w:tcPr>
          <w:p w:rsidR="00CD6A25" w:rsidRDefault="00000000">
            <w:pPr>
              <w:spacing w:before="100" w:after="0"/>
            </w:pPr>
            <w:r>
              <w:rPr>
                <w:color w:val="000000"/>
              </w:rPr>
              <w:t>La Vida Nueva is located at 1200 Dickerson SE.</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Planned Activities</w:t>
            </w:r>
          </w:p>
        </w:tc>
        <w:tc>
          <w:tcPr>
            <w:tcW w:w="0" w:type="auto"/>
          </w:tcPr>
          <w:p w:rsidR="00CD6A25" w:rsidRDefault="00000000">
            <w:pPr>
              <w:spacing w:before="100" w:after="0"/>
            </w:pPr>
            <w:r>
              <w:rPr>
                <w:color w:val="000000"/>
              </w:rPr>
              <w:t>Funds will be used for security updates that may include, but not be limited to, the following: installing convex mirrors, removing and replacing incorrectly installed sliding glass doors, installing additional locks on windows, installing security doors to each unit, and securing attic access in units, as needed. </w:t>
            </w:r>
          </w:p>
        </w:tc>
      </w:tr>
      <w:tr w:rsidR="00CD6A25">
        <w:trPr>
          <w:cantSplit/>
        </w:trPr>
        <w:tc>
          <w:tcPr>
            <w:tcW w:w="0" w:type="auto"/>
            <w:vMerge w:val="restart"/>
          </w:tcPr>
          <w:p w:rsidR="00CD6A25" w:rsidRDefault="00000000">
            <w:r>
              <w:rPr>
                <w:b/>
              </w:rPr>
              <w:t>9</w:t>
            </w:r>
          </w:p>
        </w:tc>
        <w:tc>
          <w:tcPr>
            <w:tcW w:w="0" w:type="auto"/>
          </w:tcPr>
          <w:p w:rsidR="00CD6A25" w:rsidRDefault="00000000">
            <w:pPr>
              <w:keepNext/>
              <w:spacing w:before="100" w:after="0"/>
              <w:rPr>
                <w:b/>
              </w:rPr>
            </w:pPr>
            <w:r>
              <w:rPr>
                <w:b/>
              </w:rPr>
              <w:t>Project Name</w:t>
            </w:r>
          </w:p>
        </w:tc>
        <w:tc>
          <w:tcPr>
            <w:tcW w:w="0" w:type="auto"/>
          </w:tcPr>
          <w:p w:rsidR="00CD6A25" w:rsidRDefault="00000000">
            <w:pPr>
              <w:spacing w:before="100" w:after="0"/>
            </w:pPr>
            <w:r>
              <w:rPr>
                <w:color w:val="000000"/>
              </w:rPr>
              <w:t>Eviction Prevention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Target Area</w:t>
            </w:r>
          </w:p>
        </w:tc>
        <w:tc>
          <w:tcPr>
            <w:tcW w:w="0" w:type="auto"/>
          </w:tcPr>
          <w:p w:rsidR="00CD6A25" w:rsidRDefault="00000000">
            <w:pPr>
              <w:spacing w:before="100" w:after="0"/>
            </w:pPr>
            <w:r>
              <w:rPr>
                <w:color w:val="000000"/>
              </w:rPr>
              <w:t>Citywide Investment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Goals Supported</w:t>
            </w:r>
          </w:p>
        </w:tc>
        <w:tc>
          <w:tcPr>
            <w:tcW w:w="0" w:type="auto"/>
          </w:tcPr>
          <w:p w:rsidR="00CD6A25" w:rsidRDefault="00000000">
            <w:pPr>
              <w:spacing w:before="100" w:after="0"/>
            </w:pPr>
            <w:r>
              <w:rPr>
                <w:color w:val="000000"/>
              </w:rPr>
              <w:t>Homeless Prevention Programs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Needs Addressed</w:t>
            </w:r>
          </w:p>
        </w:tc>
        <w:tc>
          <w:tcPr>
            <w:tcW w:w="0" w:type="auto"/>
          </w:tcPr>
          <w:p w:rsidR="00CD6A25" w:rsidRDefault="00000000">
            <w:pPr>
              <w:spacing w:before="100" w:after="0"/>
            </w:pPr>
            <w:r>
              <w:rPr>
                <w:color w:val="000000"/>
              </w:rPr>
              <w:t>AFH Factor: Homeless Prevention Programs</w:t>
            </w:r>
            <w:r>
              <w:rPr>
                <w:color w:val="000000"/>
              </w:rPr>
              <w:br/>
              <w:t>Homeless Services and Programs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Funding</w:t>
            </w:r>
          </w:p>
        </w:tc>
        <w:tc>
          <w:tcPr>
            <w:tcW w:w="0" w:type="auto"/>
          </w:tcPr>
          <w:p w:rsidR="00CD6A25" w:rsidRDefault="00000000">
            <w:pPr>
              <w:spacing w:before="100" w:after="0"/>
            </w:pPr>
            <w:r>
              <w:rPr>
                <w:color w:val="000000"/>
              </w:rPr>
              <w:t>CDBG: $310,298.00</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Description</w:t>
            </w:r>
          </w:p>
        </w:tc>
        <w:tc>
          <w:tcPr>
            <w:tcW w:w="0" w:type="auto"/>
          </w:tcPr>
          <w:p w:rsidR="00CD6A25" w:rsidRDefault="00000000">
            <w:pPr>
              <w:spacing w:before="100" w:after="0"/>
            </w:pPr>
            <w:r>
              <w:rPr>
                <w:color w:val="000000"/>
              </w:rPr>
              <w:t>Funds will be provided to the City's Health and Social Services Centers to provide emergency rental and utility assistance for low- to moderate-income persons residing within the Albuquerque city limits.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Target Date</w:t>
            </w:r>
          </w:p>
        </w:tc>
        <w:tc>
          <w:tcPr>
            <w:tcW w:w="0" w:type="auto"/>
          </w:tcPr>
          <w:p w:rsidR="00CD6A25" w:rsidRDefault="00000000">
            <w:pPr>
              <w:spacing w:before="100" w:after="0"/>
            </w:pPr>
            <w:r>
              <w:rPr>
                <w:color w:val="000000"/>
              </w:rPr>
              <w:t>7/31/2026</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CD6A25" w:rsidRDefault="00000000">
            <w:pPr>
              <w:spacing w:before="100" w:after="0"/>
            </w:pPr>
            <w:r>
              <w:rPr>
                <w:color w:val="000000"/>
              </w:rPr>
              <w:t>Approximately 258 people will be provided rental and/or utility assistance in order to prevent homelessness.</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Location Description</w:t>
            </w:r>
          </w:p>
        </w:tc>
        <w:tc>
          <w:tcPr>
            <w:tcW w:w="0" w:type="auto"/>
          </w:tcPr>
          <w:p w:rsidR="00CD6A25" w:rsidRDefault="00000000">
            <w:pPr>
              <w:spacing w:before="100" w:after="0"/>
            </w:pPr>
            <w:r>
              <w:rPr>
                <w:color w:val="000000"/>
              </w:rPr>
              <w:t>Citywide</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Planned Activities</w:t>
            </w:r>
          </w:p>
        </w:tc>
        <w:tc>
          <w:tcPr>
            <w:tcW w:w="0" w:type="auto"/>
          </w:tcPr>
          <w:p w:rsidR="00CD6A25" w:rsidRDefault="00000000">
            <w:pPr>
              <w:spacing w:before="100" w:after="0"/>
            </w:pPr>
            <w:r>
              <w:rPr>
                <w:color w:val="000000"/>
              </w:rPr>
              <w:t>These funds will allow the City’s Health and Social Service Centers to provide emergency rental and utility assistance for low to moderate income persons residing within the Albuquerque city limits.</w:t>
            </w:r>
          </w:p>
        </w:tc>
      </w:tr>
      <w:tr w:rsidR="00CD6A25">
        <w:trPr>
          <w:cantSplit/>
        </w:trPr>
        <w:tc>
          <w:tcPr>
            <w:tcW w:w="0" w:type="auto"/>
            <w:vMerge w:val="restart"/>
          </w:tcPr>
          <w:p w:rsidR="00CD6A25" w:rsidRDefault="00000000">
            <w:r>
              <w:rPr>
                <w:b/>
              </w:rPr>
              <w:t>10</w:t>
            </w:r>
          </w:p>
        </w:tc>
        <w:tc>
          <w:tcPr>
            <w:tcW w:w="0" w:type="auto"/>
          </w:tcPr>
          <w:p w:rsidR="00CD6A25" w:rsidRDefault="00000000">
            <w:pPr>
              <w:keepNext/>
              <w:spacing w:before="100" w:after="0"/>
              <w:rPr>
                <w:b/>
              </w:rPr>
            </w:pPr>
            <w:r>
              <w:rPr>
                <w:b/>
              </w:rPr>
              <w:t>Project Name</w:t>
            </w:r>
          </w:p>
        </w:tc>
        <w:tc>
          <w:tcPr>
            <w:tcW w:w="0" w:type="auto"/>
          </w:tcPr>
          <w:p w:rsidR="00CD6A25" w:rsidRDefault="00000000">
            <w:pPr>
              <w:spacing w:before="100" w:after="0"/>
            </w:pPr>
            <w:r>
              <w:rPr>
                <w:color w:val="000000"/>
              </w:rPr>
              <w:t>Dental Services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Target Area</w:t>
            </w:r>
          </w:p>
        </w:tc>
        <w:tc>
          <w:tcPr>
            <w:tcW w:w="0" w:type="auto"/>
          </w:tcPr>
          <w:p w:rsidR="00CD6A25" w:rsidRDefault="00000000">
            <w:pPr>
              <w:spacing w:before="100" w:after="0"/>
            </w:pPr>
            <w:r>
              <w:rPr>
                <w:color w:val="000000"/>
              </w:rPr>
              <w:t>Citywide Investment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Goals Supported</w:t>
            </w:r>
          </w:p>
        </w:tc>
        <w:tc>
          <w:tcPr>
            <w:tcW w:w="0" w:type="auto"/>
          </w:tcPr>
          <w:p w:rsidR="00CD6A25" w:rsidRDefault="00000000">
            <w:pPr>
              <w:spacing w:before="100" w:after="0"/>
            </w:pPr>
            <w:r>
              <w:rPr>
                <w:color w:val="000000"/>
              </w:rPr>
              <w:t>Public Services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Needs Addressed</w:t>
            </w:r>
          </w:p>
        </w:tc>
        <w:tc>
          <w:tcPr>
            <w:tcW w:w="0" w:type="auto"/>
          </w:tcPr>
          <w:p w:rsidR="00CD6A25" w:rsidRDefault="00000000">
            <w:pPr>
              <w:spacing w:before="100" w:after="0"/>
            </w:pPr>
            <w:r>
              <w:rPr>
                <w:color w:val="000000"/>
              </w:rPr>
              <w:t>Homeless Services and Programs</w:t>
            </w:r>
            <w:r>
              <w:rPr>
                <w:color w:val="000000"/>
              </w:rPr>
              <w:br/>
              <w:t>Public Services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Funding</w:t>
            </w:r>
          </w:p>
        </w:tc>
        <w:tc>
          <w:tcPr>
            <w:tcW w:w="0" w:type="auto"/>
          </w:tcPr>
          <w:p w:rsidR="00CD6A25" w:rsidRDefault="00000000">
            <w:pPr>
              <w:spacing w:before="100" w:after="0"/>
            </w:pPr>
            <w:r>
              <w:rPr>
                <w:color w:val="000000"/>
              </w:rPr>
              <w:t>CDBG: $229,760.00</w:t>
            </w:r>
            <w:r>
              <w:rPr>
                <w:color w:val="000000"/>
              </w:rPr>
              <w:br/>
              <w:t>General Funds: $67,400.00</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Description</w:t>
            </w:r>
          </w:p>
        </w:tc>
        <w:tc>
          <w:tcPr>
            <w:tcW w:w="0" w:type="auto"/>
          </w:tcPr>
          <w:p w:rsidR="00CD6A25" w:rsidRDefault="00000000">
            <w:pPr>
              <w:spacing w:before="100" w:after="0"/>
            </w:pPr>
            <w:r>
              <w:rPr>
                <w:color w:val="000000"/>
              </w:rPr>
              <w:t>These funds will be used by Albuquerque Healthcare for the Homeless to provide a full range of dental services to medically indigent, low- and moderate-income persons in the City who are experiencing homelessness.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Target Date</w:t>
            </w:r>
          </w:p>
        </w:tc>
        <w:tc>
          <w:tcPr>
            <w:tcW w:w="0" w:type="auto"/>
          </w:tcPr>
          <w:p w:rsidR="00CD6A25" w:rsidRDefault="00000000">
            <w:pPr>
              <w:spacing w:before="100" w:after="0"/>
            </w:pPr>
            <w:r>
              <w:rPr>
                <w:color w:val="000000"/>
              </w:rPr>
              <w:t>7/31/2026</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CD6A25" w:rsidRDefault="00000000">
            <w:pPr>
              <w:spacing w:before="100" w:after="0"/>
            </w:pPr>
            <w:r>
              <w:rPr>
                <w:color w:val="000000"/>
              </w:rPr>
              <w:t>345 persons experiencing homelessness will benefit from this activity utilizing CDBG funds. An additional 200 persons experiencing homelessness will benefit from this project utilizing General Funds.</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Location Description</w:t>
            </w:r>
          </w:p>
        </w:tc>
        <w:tc>
          <w:tcPr>
            <w:tcW w:w="0" w:type="auto"/>
          </w:tcPr>
          <w:p w:rsidR="00CD6A25" w:rsidRDefault="00000000">
            <w:pPr>
              <w:spacing w:before="100" w:after="0"/>
            </w:pPr>
            <w:r>
              <w:rPr>
                <w:color w:val="000000"/>
              </w:rPr>
              <w:t>Services are available to persons experiencing homelessness citywide but the service will take place at 1217 1st St. NW.</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Planned Activities</w:t>
            </w:r>
          </w:p>
        </w:tc>
        <w:tc>
          <w:tcPr>
            <w:tcW w:w="0" w:type="auto"/>
          </w:tcPr>
          <w:p w:rsidR="00CD6A25" w:rsidRDefault="00000000">
            <w:pPr>
              <w:spacing w:before="100" w:after="0"/>
            </w:pPr>
            <w:r>
              <w:rPr>
                <w:color w:val="000000"/>
              </w:rPr>
              <w:t>Provide a range of dental health services to low- and moderate-income homeless persons.</w:t>
            </w:r>
          </w:p>
        </w:tc>
      </w:tr>
      <w:tr w:rsidR="00CD6A25">
        <w:trPr>
          <w:cantSplit/>
        </w:trPr>
        <w:tc>
          <w:tcPr>
            <w:tcW w:w="0" w:type="auto"/>
            <w:vMerge w:val="restart"/>
          </w:tcPr>
          <w:p w:rsidR="00CD6A25" w:rsidRDefault="00000000">
            <w:r>
              <w:rPr>
                <w:b/>
              </w:rPr>
              <w:t>11</w:t>
            </w:r>
          </w:p>
        </w:tc>
        <w:tc>
          <w:tcPr>
            <w:tcW w:w="0" w:type="auto"/>
          </w:tcPr>
          <w:p w:rsidR="00CD6A25" w:rsidRDefault="00000000">
            <w:pPr>
              <w:keepNext/>
              <w:spacing w:before="100" w:after="0"/>
              <w:rPr>
                <w:b/>
              </w:rPr>
            </w:pPr>
            <w:r>
              <w:rPr>
                <w:b/>
              </w:rPr>
              <w:t>Project Name</w:t>
            </w:r>
          </w:p>
        </w:tc>
        <w:tc>
          <w:tcPr>
            <w:tcW w:w="0" w:type="auto"/>
          </w:tcPr>
          <w:p w:rsidR="00CD6A25" w:rsidRDefault="00000000">
            <w:pPr>
              <w:spacing w:before="100" w:after="0"/>
            </w:pPr>
            <w:r>
              <w:rPr>
                <w:color w:val="000000"/>
              </w:rPr>
              <w:t>Senior Meals/Nutrition Program</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Target Area</w:t>
            </w:r>
          </w:p>
        </w:tc>
        <w:tc>
          <w:tcPr>
            <w:tcW w:w="0" w:type="auto"/>
          </w:tcPr>
          <w:p w:rsidR="00CD6A25" w:rsidRDefault="00000000">
            <w:pPr>
              <w:spacing w:before="100" w:after="0"/>
            </w:pPr>
            <w:r>
              <w:rPr>
                <w:color w:val="000000"/>
              </w:rPr>
              <w:t>Citywide Investment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Goals Supported</w:t>
            </w:r>
          </w:p>
        </w:tc>
        <w:tc>
          <w:tcPr>
            <w:tcW w:w="0" w:type="auto"/>
          </w:tcPr>
          <w:p w:rsidR="00CD6A25" w:rsidRDefault="00000000">
            <w:pPr>
              <w:spacing w:before="100" w:after="0"/>
            </w:pPr>
            <w:r>
              <w:rPr>
                <w:color w:val="000000"/>
              </w:rPr>
              <w:t>Public Services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Needs Addressed</w:t>
            </w:r>
          </w:p>
        </w:tc>
        <w:tc>
          <w:tcPr>
            <w:tcW w:w="0" w:type="auto"/>
          </w:tcPr>
          <w:p w:rsidR="00CD6A25" w:rsidRDefault="00000000">
            <w:pPr>
              <w:spacing w:before="100" w:after="0"/>
            </w:pPr>
            <w:r>
              <w:rPr>
                <w:color w:val="000000"/>
              </w:rPr>
              <w:t>Public Services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Funding</w:t>
            </w:r>
          </w:p>
        </w:tc>
        <w:tc>
          <w:tcPr>
            <w:tcW w:w="0" w:type="auto"/>
          </w:tcPr>
          <w:p w:rsidR="00CD6A25" w:rsidRDefault="00000000">
            <w:pPr>
              <w:spacing w:before="100" w:after="0"/>
            </w:pPr>
            <w:r>
              <w:rPr>
                <w:color w:val="000000"/>
              </w:rPr>
              <w:t>CDBG: $119,300.00</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Description</w:t>
            </w:r>
          </w:p>
        </w:tc>
        <w:tc>
          <w:tcPr>
            <w:tcW w:w="0" w:type="auto"/>
          </w:tcPr>
          <w:p w:rsidR="00CD6A25" w:rsidRDefault="00000000">
            <w:pPr>
              <w:spacing w:before="100" w:after="0"/>
            </w:pPr>
            <w:r>
              <w:rPr>
                <w:color w:val="000000"/>
              </w:rPr>
              <w:t>Provide services to seniors that will improve quality of life. Projects to be funded under this goal include, but are not limited to, nutrition services, recreational and educational activities as well as supportive services.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Target Date</w:t>
            </w:r>
          </w:p>
        </w:tc>
        <w:tc>
          <w:tcPr>
            <w:tcW w:w="0" w:type="auto"/>
          </w:tcPr>
          <w:p w:rsidR="00CD6A25" w:rsidRDefault="00000000">
            <w:pPr>
              <w:spacing w:before="100" w:after="0"/>
            </w:pPr>
            <w:r>
              <w:rPr>
                <w:color w:val="000000"/>
              </w:rPr>
              <w:t>7/31/2026</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CD6A25" w:rsidRDefault="00000000">
            <w:pPr>
              <w:spacing w:before="100" w:after="0"/>
            </w:pPr>
            <w:r>
              <w:rPr>
                <w:color w:val="000000"/>
              </w:rPr>
              <w:t>1,700 low to moderate income persons will benefit from this activity.</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Location Description</w:t>
            </w:r>
          </w:p>
        </w:tc>
        <w:tc>
          <w:tcPr>
            <w:tcW w:w="0" w:type="auto"/>
          </w:tcPr>
          <w:p w:rsidR="00CD6A25" w:rsidRDefault="00000000">
            <w:pPr>
              <w:spacing w:before="100" w:after="0"/>
            </w:pPr>
            <w:r>
              <w:rPr>
                <w:color w:val="000000"/>
              </w:rPr>
              <w:t>Citywide</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Planned Activities</w:t>
            </w:r>
          </w:p>
        </w:tc>
        <w:tc>
          <w:tcPr>
            <w:tcW w:w="0" w:type="auto"/>
          </w:tcPr>
          <w:p w:rsidR="00CD6A25" w:rsidRDefault="00000000">
            <w:pPr>
              <w:spacing w:before="100" w:after="0"/>
            </w:pPr>
            <w:r>
              <w:rPr>
                <w:color w:val="000000"/>
              </w:rPr>
              <w:t>The Department of Senior Affairs will receive funds to assist with the program costs to provide meals for low- to moderate-income seniors.</w:t>
            </w:r>
          </w:p>
        </w:tc>
      </w:tr>
      <w:tr w:rsidR="00CD6A25">
        <w:trPr>
          <w:cantSplit/>
        </w:trPr>
        <w:tc>
          <w:tcPr>
            <w:tcW w:w="0" w:type="auto"/>
            <w:vMerge w:val="restart"/>
          </w:tcPr>
          <w:p w:rsidR="00CD6A25" w:rsidRDefault="00000000">
            <w:r>
              <w:rPr>
                <w:b/>
              </w:rPr>
              <w:t>12</w:t>
            </w:r>
          </w:p>
        </w:tc>
        <w:tc>
          <w:tcPr>
            <w:tcW w:w="0" w:type="auto"/>
          </w:tcPr>
          <w:p w:rsidR="00CD6A25" w:rsidRDefault="00000000">
            <w:pPr>
              <w:keepNext/>
              <w:spacing w:before="100" w:after="0"/>
              <w:rPr>
                <w:b/>
              </w:rPr>
            </w:pPr>
            <w:r>
              <w:rPr>
                <w:b/>
              </w:rPr>
              <w:t>Project Name</w:t>
            </w:r>
          </w:p>
        </w:tc>
        <w:tc>
          <w:tcPr>
            <w:tcW w:w="0" w:type="auto"/>
          </w:tcPr>
          <w:p w:rsidR="00CD6A25" w:rsidRDefault="00000000">
            <w:pPr>
              <w:spacing w:before="100" w:after="0"/>
            </w:pPr>
            <w:r>
              <w:rPr>
                <w:color w:val="000000"/>
              </w:rPr>
              <w:t>Homeless Intervention and Rapid Rehousing</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Target Area</w:t>
            </w:r>
          </w:p>
        </w:tc>
        <w:tc>
          <w:tcPr>
            <w:tcW w:w="0" w:type="auto"/>
          </w:tcPr>
          <w:p w:rsidR="00CD6A25" w:rsidRDefault="00000000">
            <w:pPr>
              <w:spacing w:before="100" w:after="0"/>
            </w:pPr>
            <w:r>
              <w:rPr>
                <w:color w:val="000000"/>
              </w:rPr>
              <w:t>Citywide Investment</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Goals Supported</w:t>
            </w:r>
          </w:p>
        </w:tc>
        <w:tc>
          <w:tcPr>
            <w:tcW w:w="0" w:type="auto"/>
          </w:tcPr>
          <w:p w:rsidR="00CD6A25" w:rsidRDefault="00000000">
            <w:pPr>
              <w:spacing w:before="100" w:after="0"/>
            </w:pPr>
            <w:r>
              <w:rPr>
                <w:color w:val="000000"/>
              </w:rPr>
              <w:t>Homeless Services and Programs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Needs Addressed</w:t>
            </w:r>
          </w:p>
        </w:tc>
        <w:tc>
          <w:tcPr>
            <w:tcW w:w="0" w:type="auto"/>
          </w:tcPr>
          <w:p w:rsidR="00CD6A25" w:rsidRDefault="00000000">
            <w:pPr>
              <w:spacing w:before="100" w:after="0"/>
            </w:pPr>
            <w:r>
              <w:rPr>
                <w:color w:val="000000"/>
              </w:rPr>
              <w:t>AFH Factor: Homeless Prevention Programs</w:t>
            </w:r>
            <w:r>
              <w:rPr>
                <w:color w:val="000000"/>
              </w:rPr>
              <w:br/>
              <w:t>Homeless Services and Programs</w:t>
            </w:r>
            <w:r>
              <w:rPr>
                <w:color w:val="000000"/>
              </w:rPr>
              <w:br/>
              <w:t>Public Services</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Funding</w:t>
            </w:r>
          </w:p>
        </w:tc>
        <w:tc>
          <w:tcPr>
            <w:tcW w:w="0" w:type="auto"/>
          </w:tcPr>
          <w:p w:rsidR="00CD6A25" w:rsidRDefault="00000000">
            <w:pPr>
              <w:spacing w:before="100" w:after="0"/>
            </w:pPr>
            <w:r>
              <w:rPr>
                <w:color w:val="000000"/>
              </w:rPr>
              <w:t>ESG: $345,073.71</w:t>
            </w:r>
            <w:r>
              <w:rPr>
                <w:color w:val="000000"/>
              </w:rPr>
              <w:br/>
              <w:t>General Funds: $448,073.71</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Description</w:t>
            </w:r>
          </w:p>
        </w:tc>
        <w:tc>
          <w:tcPr>
            <w:tcW w:w="0" w:type="auto"/>
          </w:tcPr>
          <w:p w:rsidR="00CD6A25" w:rsidRDefault="00000000">
            <w:pPr>
              <w:spacing w:before="100" w:after="0"/>
            </w:pPr>
            <w:r>
              <w:rPr>
                <w:color w:val="000000"/>
              </w:rPr>
              <w:t>Projects under this category will provide services to populations experiencing homelessness by providing street outreach and/or case management that includes housing navigation and engagement, HMIS support, emergency shelter programs, and rapid rehousing programs. Funds will also be used for administrative costs to support the implementation of these services for the 2025 Action Plan.</w:t>
            </w:r>
          </w:p>
        </w:tc>
      </w:tr>
      <w:tr w:rsidR="00CD6A25">
        <w:trPr>
          <w:cantSplit/>
        </w:trPr>
        <w:tc>
          <w:tcPr>
            <w:tcW w:w="0" w:type="auto"/>
            <w:vMerge/>
          </w:tcPr>
          <w:p w:rsidR="00CD6A25" w:rsidRDefault="00CD6A25"/>
        </w:tc>
        <w:tc>
          <w:tcPr>
            <w:tcW w:w="0" w:type="auto"/>
          </w:tcPr>
          <w:p w:rsidR="00CD6A25" w:rsidRDefault="00000000">
            <w:pPr>
              <w:keepNext/>
              <w:spacing w:before="100" w:after="0"/>
              <w:rPr>
                <w:b/>
              </w:rPr>
            </w:pPr>
            <w:r>
              <w:rPr>
                <w:b/>
              </w:rPr>
              <w:t>Target Date</w:t>
            </w:r>
          </w:p>
        </w:tc>
        <w:tc>
          <w:tcPr>
            <w:tcW w:w="0" w:type="auto"/>
          </w:tcPr>
          <w:p w:rsidR="00CD6A25" w:rsidRDefault="00000000">
            <w:pPr>
              <w:spacing w:before="100" w:after="0"/>
            </w:pPr>
            <w:r>
              <w:rPr>
                <w:color w:val="000000"/>
              </w:rPr>
              <w:t>7/31/2026</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CD6A25" w:rsidRDefault="00000000">
            <w:pPr>
              <w:spacing w:before="100" w:after="0"/>
            </w:pPr>
            <w:r>
              <w:rPr>
                <w:color w:val="000000"/>
              </w:rPr>
              <w:t>Approximately 722 persons will be provided overnight shelter utilizing ESG funds; 12 households will benefit from rapid rehousing utilizing ESG funds; 74 beds at an overnight/emergency shelter/transitional housing facility will be provided with ESG funds and an additional 63 will be provided utilizing General Funds; and 30 persons will be provided with street outreach and/or case management utilizing ESG with an additional 112 provided with these services utilizing General Funds.</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Location Description</w:t>
            </w:r>
          </w:p>
        </w:tc>
        <w:tc>
          <w:tcPr>
            <w:tcW w:w="0" w:type="auto"/>
          </w:tcPr>
          <w:p w:rsidR="00CD6A25" w:rsidRDefault="00000000">
            <w:pPr>
              <w:spacing w:before="100" w:after="0"/>
            </w:pPr>
            <w:r>
              <w:rPr>
                <w:color w:val="000000"/>
              </w:rPr>
              <w:t>Citywide</w:t>
            </w:r>
          </w:p>
        </w:tc>
      </w:tr>
      <w:tr w:rsidR="00CD6A25">
        <w:trPr>
          <w:cantSplit/>
        </w:trPr>
        <w:tc>
          <w:tcPr>
            <w:tcW w:w="0" w:type="auto"/>
            <w:vMerge/>
          </w:tcPr>
          <w:p w:rsidR="00CD6A25" w:rsidRDefault="00CD6A25"/>
        </w:tc>
        <w:tc>
          <w:tcPr>
            <w:tcW w:w="0" w:type="auto"/>
          </w:tcPr>
          <w:p w:rsidR="00CD6A25" w:rsidRDefault="00000000">
            <w:pPr>
              <w:keepNext/>
              <w:spacing w:before="100" w:after="0"/>
              <w:rPr>
                <w:rFonts w:asciiTheme="minorHAnsi" w:hAnsiTheme="minorHAnsi"/>
                <w:b/>
              </w:rPr>
            </w:pPr>
            <w:r>
              <w:rPr>
                <w:rStyle w:val="Strong"/>
                <w:rFonts w:asciiTheme="minorHAnsi" w:hAnsiTheme="minorHAnsi"/>
              </w:rPr>
              <w:t>Planned Activities</w:t>
            </w:r>
          </w:p>
        </w:tc>
        <w:tc>
          <w:tcPr>
            <w:tcW w:w="0" w:type="auto"/>
          </w:tcPr>
          <w:p w:rsidR="00CD6A25" w:rsidRDefault="00000000">
            <w:pPr>
              <w:spacing w:before="100" w:after="0"/>
            </w:pPr>
            <w:r>
              <w:rPr>
                <w:color w:val="000000"/>
              </w:rPr>
              <w:t>Projects under this category work to increase services for “at-risk” populations by providing public services to homeless persons, such as emergency shelter services, transitional and permanent supportive housing opportunities, along with integrated services to maintain housing stability; including but not limited to health care, counseling, case management, and meal assistance. </w:t>
            </w:r>
          </w:p>
        </w:tc>
      </w:tr>
    </w:tbl>
    <w:p w:rsidR="00CD6A25" w:rsidRDefault="00000000">
      <w:pPr>
        <w:pStyle w:val="Heading2"/>
        <w:pageBreakBefore/>
        <w:widowControl w:val="0"/>
        <w:rPr>
          <w:rFonts w:ascii="Calibri" w:hAnsi="Calibri"/>
          <w:i w:val="0"/>
        </w:rPr>
      </w:pPr>
      <w:bookmarkStart w:id="1" w:name="_Toc309810477"/>
      <w:bookmarkEnd w:id="0"/>
      <w:r>
        <w:rPr>
          <w:rFonts w:ascii="Calibri" w:hAnsi="Calibri"/>
          <w:i w:val="0"/>
        </w:rPr>
        <w:lastRenderedPageBreak/>
        <w:t xml:space="preserve">AP-50 Geographic Distribution – 91.220(f) </w:t>
      </w:r>
      <w:bookmarkEnd w:id="1"/>
    </w:p>
    <w:p w:rsidR="00CD6A25" w:rsidRDefault="00000000">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rsidR="00CD6A25" w:rsidRDefault="00000000">
      <w:pPr>
        <w:keepNext/>
        <w:widowControl w:val="0"/>
        <w:spacing w:beforeAutospacing="1" w:afterAutospacing="1"/>
        <w:rPr>
          <w:rFonts w:cs="Arial"/>
          <w:szCs w:val="26"/>
        </w:rPr>
      </w:pPr>
      <w:r>
        <w:rPr>
          <w:rFonts w:cs="Arial"/>
        </w:rPr>
        <w:t>At present, the City of Albuquerque is not implementing any official HUD designated and non-HUD designated geographic based priority areas such as investment and reinvestment areas, Empower Zones, or Brownfields. Allocations and program activities are funded citywide in accordance with eligibility and program priorities set through sub-recipient department policies.</w:t>
      </w:r>
    </w:p>
    <w:p w:rsidR="00CD6A25" w:rsidRDefault="00000000">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2074"/>
      </w:tblGrid>
      <w:tr w:rsidR="00CD6A25">
        <w:trPr>
          <w:cantSplit/>
          <w:tblHeader/>
        </w:trPr>
        <w:tc>
          <w:tcPr>
            <w:tcW w:w="0" w:type="auto"/>
          </w:tcPr>
          <w:p w:rsidR="00CD6A25" w:rsidRDefault="00000000">
            <w:pPr>
              <w:keepNext/>
              <w:widowControl w:val="0"/>
              <w:spacing w:after="0" w:line="240" w:lineRule="auto"/>
              <w:jc w:val="center"/>
              <w:rPr>
                <w:b/>
                <w:szCs w:val="24"/>
              </w:rPr>
            </w:pPr>
            <w:r>
              <w:rPr>
                <w:b/>
              </w:rPr>
              <w:t>Target Area</w:t>
            </w:r>
          </w:p>
        </w:tc>
        <w:tc>
          <w:tcPr>
            <w:tcW w:w="0" w:type="auto"/>
          </w:tcPr>
          <w:p w:rsidR="00CD6A25" w:rsidRDefault="00000000">
            <w:pPr>
              <w:keepNext/>
              <w:widowControl w:val="0"/>
              <w:spacing w:after="0" w:line="240" w:lineRule="auto"/>
              <w:jc w:val="center"/>
              <w:rPr>
                <w:b/>
                <w:szCs w:val="24"/>
              </w:rPr>
            </w:pPr>
            <w:r>
              <w:rPr>
                <w:b/>
              </w:rPr>
              <w:t>Percentage of Funds</w:t>
            </w:r>
          </w:p>
        </w:tc>
      </w:tr>
      <w:tr w:rsidR="00CD6A25">
        <w:trPr>
          <w:cantSplit/>
        </w:trPr>
        <w:tc>
          <w:tcPr>
            <w:tcW w:w="0" w:type="auto"/>
          </w:tcPr>
          <w:p w:rsidR="00CD6A25" w:rsidRDefault="00000000">
            <w:pPr>
              <w:spacing w:beforeAutospacing="1" w:afterAutospacing="1"/>
            </w:pPr>
            <w:r>
              <w:rPr>
                <w:color w:val="000000"/>
              </w:rPr>
              <w:t>Citywide Investment</w:t>
            </w:r>
          </w:p>
        </w:tc>
        <w:tc>
          <w:tcPr>
            <w:tcW w:w="0" w:type="auto"/>
            <w:vAlign w:val="bottom"/>
          </w:tcPr>
          <w:p w:rsidR="00CD6A25" w:rsidRDefault="00000000">
            <w:pPr>
              <w:spacing w:beforeAutospacing="1" w:afterAutospacing="1"/>
              <w:jc w:val="right"/>
            </w:pPr>
            <w:r>
              <w:rPr>
                <w:color w:val="000000"/>
              </w:rPr>
              <w:t>100</w:t>
            </w:r>
          </w:p>
        </w:tc>
      </w:tr>
    </w:tbl>
    <w:p w:rsidR="00CD6A25" w:rsidRDefault="00000000">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Geographic Distribution </w:t>
      </w:r>
    </w:p>
    <w:p w:rsidR="00CD6A25" w:rsidRDefault="00CD6A25">
      <w:pPr>
        <w:spacing w:after="0" w:line="240" w:lineRule="auto"/>
        <w:rPr>
          <w:b/>
          <w:sz w:val="24"/>
          <w:szCs w:val="24"/>
        </w:rPr>
      </w:pPr>
    </w:p>
    <w:p w:rsidR="00CD6A25" w:rsidRDefault="00000000">
      <w:pPr>
        <w:keepNext/>
        <w:widowControl w:val="0"/>
        <w:rPr>
          <w:b/>
          <w:sz w:val="24"/>
          <w:szCs w:val="24"/>
        </w:rPr>
      </w:pPr>
      <w:r>
        <w:rPr>
          <w:b/>
          <w:sz w:val="24"/>
          <w:szCs w:val="24"/>
        </w:rPr>
        <w:t xml:space="preserve">Rationale for the priorities for allocating investments geographically </w:t>
      </w:r>
    </w:p>
    <w:p w:rsidR="00CD6A25" w:rsidRDefault="00000000">
      <w:pPr>
        <w:keepNext/>
        <w:widowControl w:val="0"/>
        <w:spacing w:beforeAutospacing="1" w:afterAutospacing="1"/>
        <w:rPr>
          <w:rFonts w:cs="Arial"/>
          <w:szCs w:val="24"/>
        </w:rPr>
      </w:pPr>
      <w:r>
        <w:rPr>
          <w:rFonts w:cs="Arial"/>
        </w:rPr>
        <w:t xml:space="preserve">The City’s primary method of allocating CDBG, HOME, and ESG dollars is to assist low- to moderate-income and at-risk populations. To the extent that specific geographic areas have greater needs than other areas in the city and/or if service and housing organizations are in certain areas, they will receive a larger proportionate share of the funding. For any sidewalk or infrastructure improvements, the </w:t>
      </w:r>
      <w:proofErr w:type="gramStart"/>
      <w:r>
        <w:rPr>
          <w:rFonts w:cs="Arial"/>
        </w:rPr>
        <w:t>City</w:t>
      </w:r>
      <w:proofErr w:type="gramEnd"/>
      <w:r>
        <w:rPr>
          <w:rFonts w:cs="Arial"/>
        </w:rPr>
        <w:t xml:space="preserve"> will focus on LMA areas and /or affordable housing developments where sidewalks, curb cuts, and related ADA accommodations are lacking. Finally, to provide affordable rental and single-family housing, the City’s dollars will be allocated towards new affordable housing developments where affordable housing is lacking and/or infill areas that can accommodate affordable housing. Additional geographic priorities for such infill developments will include: 1) located within a City Metropolitan Redevelopment Area; 2) located within a ¼ mile of a Transit Center, Premium Transit Station or Transit Corridor as defined by the Comprehensive Plan; 3) located within an Area of Change as defined by the City’s Comprehensive Plan.</w:t>
      </w:r>
    </w:p>
    <w:p w:rsidR="00CD6A25" w:rsidRDefault="00000000">
      <w:pPr>
        <w:keepNext/>
        <w:widowControl w:val="0"/>
        <w:spacing w:line="204" w:lineRule="auto"/>
        <w:rPr>
          <w:b/>
          <w:sz w:val="24"/>
          <w:szCs w:val="24"/>
        </w:rPr>
      </w:pPr>
      <w:r>
        <w:rPr>
          <w:b/>
          <w:sz w:val="24"/>
          <w:szCs w:val="24"/>
        </w:rPr>
        <w:t>Discussion</w:t>
      </w:r>
    </w:p>
    <w:p w:rsidR="00CD6A25" w:rsidRDefault="00000000">
      <w:pPr>
        <w:keepNext/>
        <w:widowControl w:val="0"/>
        <w:spacing w:beforeAutospacing="1" w:afterAutospacing="1"/>
        <w:rPr>
          <w:b/>
          <w:sz w:val="24"/>
          <w:szCs w:val="24"/>
        </w:rPr>
      </w:pPr>
      <w:r>
        <w:rPr>
          <w:rFonts w:cs="Arial"/>
        </w:rPr>
        <w:t>All priority needs, goals, and projects are designed to serve the geographic distribution area.</w:t>
      </w:r>
    </w:p>
    <w:p w:rsidR="00CD6A25" w:rsidRDefault="00CD6A25">
      <w:pPr>
        <w:rPr>
          <w:rFonts w:cs="Arial"/>
        </w:rPr>
      </w:pPr>
    </w:p>
    <w:p w:rsidR="00CD6A25" w:rsidRDefault="00000000">
      <w:pPr>
        <w:pStyle w:val="Heading1"/>
        <w:pageBreakBefore/>
        <w:jc w:val="center"/>
        <w:rPr>
          <w:rFonts w:ascii="Calibri" w:hAnsi="Calibri"/>
          <w:color w:val="auto"/>
          <w:sz w:val="32"/>
          <w:szCs w:val="32"/>
        </w:rPr>
      </w:pPr>
      <w:r>
        <w:rPr>
          <w:rFonts w:ascii="Calibri" w:hAnsi="Calibri"/>
          <w:color w:val="auto"/>
          <w:sz w:val="32"/>
          <w:szCs w:val="32"/>
        </w:rPr>
        <w:lastRenderedPageBreak/>
        <w:t xml:space="preserve">Affordable Housing </w:t>
      </w:r>
    </w:p>
    <w:p w:rsidR="00CD6A25" w:rsidRDefault="00000000">
      <w:pPr>
        <w:pStyle w:val="Heading2"/>
        <w:widowControl w:val="0"/>
        <w:rPr>
          <w:rFonts w:ascii="Calibri" w:hAnsi="Calibri"/>
          <w:i w:val="0"/>
        </w:rPr>
      </w:pPr>
      <w:r>
        <w:rPr>
          <w:rFonts w:ascii="Calibri" w:hAnsi="Calibri"/>
          <w:i w:val="0"/>
        </w:rPr>
        <w:t xml:space="preserve">AP-55 Affordable Housing – 91.220(g) </w:t>
      </w:r>
    </w:p>
    <w:p w:rsidR="00CD6A25" w:rsidRDefault="00000000">
      <w:pPr>
        <w:keepNext/>
        <w:widowControl w:val="0"/>
        <w:spacing w:line="204" w:lineRule="auto"/>
        <w:rPr>
          <w:b/>
          <w:sz w:val="28"/>
          <w:szCs w:val="28"/>
        </w:rPr>
      </w:pPr>
      <w:r>
        <w:rPr>
          <w:b/>
          <w:sz w:val="24"/>
          <w:szCs w:val="24"/>
        </w:rPr>
        <w:t>Introduction</w:t>
      </w:r>
    </w:p>
    <w:p w:rsidR="00CD6A25" w:rsidRDefault="00000000">
      <w:pPr>
        <w:keepNext/>
        <w:widowControl w:val="0"/>
        <w:spacing w:beforeAutospacing="1" w:afterAutospacing="1"/>
        <w:rPr>
          <w:b/>
          <w:sz w:val="24"/>
          <w:szCs w:val="24"/>
        </w:rPr>
      </w:pPr>
      <w:r>
        <w:t xml:space="preserve">The City of Albuquerque has identified that there is a shortage of approximately 15,500 affordable housing units across the city. The 2023-2027 Consolidated Plan, along with other housing-related studies and initiatives, promotes the need for affordable housing for a variety of households. The </w:t>
      </w:r>
      <w:proofErr w:type="gramStart"/>
      <w:r>
        <w:t>City</w:t>
      </w:r>
      <w:proofErr w:type="gramEnd"/>
      <w:r>
        <w:t xml:space="preserve"> will once again address the shortage by prioritizing the development of affordable housing units, affordable homeownership opportunities, the preservation of current affordable rental units and by providing rental assistance. Households assisted through these projects/programs will include low- to moderate-income households, at-risk populations, persons experiencing homelessness and non-homeless persons.</w:t>
      </w:r>
    </w:p>
    <w:p w:rsidR="00CD6A25" w:rsidRDefault="00000000">
      <w:pPr>
        <w:keepNext/>
        <w:widowControl w:val="0"/>
        <w:spacing w:beforeAutospacing="1" w:afterAutospacing="1"/>
        <w:rPr>
          <w:b/>
          <w:sz w:val="24"/>
          <w:szCs w:val="24"/>
        </w:rPr>
      </w:pPr>
      <w:r>
        <w:t xml:space="preserve">During the 2025 Program Year, $1,300,003.84 of HOME funds and $364,271.22 in HOME match will be allocated to the development of affordable housing units for low- to moderate-income households. This may be done through development and/or acquisition/rehabilitation. The City will provide $50,000.00 of HOME funds to a Community Housing Development Organization (CHDO) to assist with operating costs incurred implementing HOME-funded housing activities. HOME funds in the amount of $411,372.55 and HOME Match in the amount of $125,000.00 will be provided for the implementation of a Tenant Based Rental Assistance (TBRA) program. This program will serve approximately 20 households that are homeless or at risk of becoming homeless. CDBG funds in the amount of $1,300,000.00 and HOME funds in the amount of $100,000.00 will be provided to approximately 36 low- to moderate-income households in the form of mortgage reduction assistance. This assists in making purchasing a home affordable for these households. In addition, $965,189.50 in CDBG funds will be provided for the preservation of approximately 388 rental housing units. Six-Hundred Thirteen Thousand </w:t>
      </w:r>
      <w:proofErr w:type="gramStart"/>
      <w:r>
        <w:t>Twenty Eight</w:t>
      </w:r>
      <w:proofErr w:type="gramEnd"/>
      <w:r>
        <w:t xml:space="preserve"> Dollars and Fifty Cents ($613,028.50) in CDBG funds will assist with infrastructure development at the Uptown Connect affordable housing development. The development will contain 203 affordable housing units for low- to moderate-income households. These activities will increase the number of affordable housing units and preserve existing affordable housing throughout the city while creating housing stability for residents.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CD6A25">
        <w:trPr>
          <w:cantSplit/>
          <w:tblHeader/>
        </w:trPr>
        <w:tc>
          <w:tcPr>
            <w:tcW w:w="6473" w:type="dxa"/>
            <w:gridSpan w:val="2"/>
          </w:tcPr>
          <w:p w:rsidR="00CD6A25" w:rsidRDefault="00000000">
            <w:pPr>
              <w:keepNext/>
              <w:widowControl w:val="0"/>
              <w:spacing w:after="0" w:line="240" w:lineRule="auto"/>
              <w:jc w:val="center"/>
              <w:rPr>
                <w:b/>
                <w:szCs w:val="24"/>
              </w:rPr>
            </w:pPr>
            <w:r>
              <w:rPr>
                <w:b/>
              </w:rPr>
              <w:t>One Year Goals for the Number of Households to be Supported</w:t>
            </w:r>
          </w:p>
        </w:tc>
      </w:tr>
      <w:tr w:rsidR="00CD6A25">
        <w:trPr>
          <w:cantSplit/>
        </w:trPr>
        <w:tc>
          <w:tcPr>
            <w:tcW w:w="4853" w:type="dxa"/>
            <w:tcBorders>
              <w:top w:val="nil"/>
              <w:bottom w:val="nil"/>
            </w:tcBorders>
            <w:vAlign w:val="bottom"/>
          </w:tcPr>
          <w:p w:rsidR="00CD6A25" w:rsidRDefault="00000000">
            <w:pPr>
              <w:spacing w:beforeAutospacing="1" w:afterAutospacing="1"/>
            </w:pPr>
            <w:r>
              <w:rPr>
                <w:color w:val="000000"/>
              </w:rPr>
              <w:t>Homeless</w:t>
            </w:r>
          </w:p>
        </w:tc>
        <w:tc>
          <w:tcPr>
            <w:tcW w:w="1620" w:type="dxa"/>
            <w:tcBorders>
              <w:top w:val="nil"/>
              <w:bottom w:val="nil"/>
            </w:tcBorders>
            <w:vAlign w:val="bottom"/>
          </w:tcPr>
          <w:p w:rsidR="00CD6A25" w:rsidRDefault="00000000">
            <w:pPr>
              <w:spacing w:beforeAutospacing="1" w:afterAutospacing="1"/>
              <w:jc w:val="right"/>
            </w:pPr>
            <w:r>
              <w:rPr>
                <w:color w:val="000000"/>
              </w:rPr>
              <w:t>20</w:t>
            </w:r>
          </w:p>
        </w:tc>
      </w:tr>
      <w:tr w:rsidR="00CD6A25">
        <w:trPr>
          <w:cantSplit/>
        </w:trPr>
        <w:tc>
          <w:tcPr>
            <w:tcW w:w="4853" w:type="dxa"/>
            <w:tcBorders>
              <w:top w:val="nil"/>
              <w:bottom w:val="nil"/>
            </w:tcBorders>
            <w:vAlign w:val="bottom"/>
          </w:tcPr>
          <w:p w:rsidR="00CD6A25" w:rsidRDefault="00000000">
            <w:pPr>
              <w:spacing w:beforeAutospacing="1" w:afterAutospacing="1"/>
            </w:pPr>
            <w:r>
              <w:rPr>
                <w:color w:val="000000"/>
              </w:rPr>
              <w:t>Non-Homeless</w:t>
            </w:r>
          </w:p>
        </w:tc>
        <w:tc>
          <w:tcPr>
            <w:tcW w:w="1620" w:type="dxa"/>
            <w:tcBorders>
              <w:top w:val="nil"/>
              <w:bottom w:val="nil"/>
            </w:tcBorders>
            <w:vAlign w:val="bottom"/>
          </w:tcPr>
          <w:p w:rsidR="00CD6A25" w:rsidRDefault="00000000">
            <w:pPr>
              <w:spacing w:beforeAutospacing="1" w:afterAutospacing="1"/>
              <w:jc w:val="right"/>
            </w:pPr>
            <w:r>
              <w:rPr>
                <w:color w:val="000000"/>
              </w:rPr>
              <w:t>484</w:t>
            </w:r>
          </w:p>
        </w:tc>
      </w:tr>
      <w:tr w:rsidR="00CD6A25">
        <w:trPr>
          <w:cantSplit/>
        </w:trPr>
        <w:tc>
          <w:tcPr>
            <w:tcW w:w="4853" w:type="dxa"/>
            <w:tcBorders>
              <w:top w:val="nil"/>
              <w:bottom w:val="nil"/>
            </w:tcBorders>
            <w:vAlign w:val="bottom"/>
          </w:tcPr>
          <w:p w:rsidR="00CD6A25" w:rsidRDefault="00000000">
            <w:pPr>
              <w:spacing w:beforeAutospacing="1" w:afterAutospacing="1"/>
            </w:pPr>
            <w:r>
              <w:rPr>
                <w:color w:val="000000"/>
              </w:rPr>
              <w:t>Special-Needs</w:t>
            </w:r>
          </w:p>
        </w:tc>
        <w:tc>
          <w:tcPr>
            <w:tcW w:w="1620" w:type="dxa"/>
            <w:tcBorders>
              <w:top w:val="nil"/>
              <w:bottom w:val="nil"/>
            </w:tcBorders>
            <w:vAlign w:val="bottom"/>
          </w:tcPr>
          <w:p w:rsidR="00CD6A25" w:rsidRDefault="00000000">
            <w:pPr>
              <w:spacing w:beforeAutospacing="1" w:afterAutospacing="1"/>
              <w:jc w:val="right"/>
            </w:pPr>
            <w:r>
              <w:rPr>
                <w:color w:val="000000"/>
              </w:rPr>
              <w:t>0</w:t>
            </w:r>
          </w:p>
        </w:tc>
      </w:tr>
      <w:tr w:rsidR="00CD6A25">
        <w:trPr>
          <w:cantSplit/>
        </w:trPr>
        <w:tc>
          <w:tcPr>
            <w:tcW w:w="4853" w:type="dxa"/>
            <w:tcBorders>
              <w:top w:val="nil"/>
              <w:bottom w:val="nil"/>
            </w:tcBorders>
            <w:vAlign w:val="bottom"/>
          </w:tcPr>
          <w:p w:rsidR="00CD6A25" w:rsidRDefault="00000000">
            <w:pPr>
              <w:spacing w:beforeAutospacing="1" w:afterAutospacing="1"/>
            </w:pPr>
            <w:r>
              <w:rPr>
                <w:color w:val="000000"/>
              </w:rPr>
              <w:t>Total</w:t>
            </w:r>
          </w:p>
        </w:tc>
        <w:tc>
          <w:tcPr>
            <w:tcW w:w="1620" w:type="dxa"/>
            <w:tcBorders>
              <w:top w:val="nil"/>
              <w:bottom w:val="nil"/>
            </w:tcBorders>
            <w:vAlign w:val="bottom"/>
          </w:tcPr>
          <w:p w:rsidR="00CD6A25" w:rsidRDefault="00000000">
            <w:pPr>
              <w:spacing w:beforeAutospacing="1" w:afterAutospacing="1"/>
              <w:jc w:val="right"/>
            </w:pPr>
            <w:r>
              <w:rPr>
                <w:color w:val="000000"/>
              </w:rPr>
              <w:t>504</w:t>
            </w:r>
          </w:p>
        </w:tc>
      </w:tr>
    </w:tbl>
    <w:p w:rsidR="00CD6A25" w:rsidRDefault="00000000">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t xml:space="preserve"> - One Year Goals for Affordable Housing by Support Requirement</w:t>
      </w:r>
    </w:p>
    <w:p w:rsidR="00CD6A25" w:rsidRDefault="00CD6A25">
      <w:pPr>
        <w:rPr>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CD6A25">
        <w:trPr>
          <w:cantSplit/>
          <w:tblHeader/>
        </w:trPr>
        <w:tc>
          <w:tcPr>
            <w:tcW w:w="6473" w:type="dxa"/>
            <w:gridSpan w:val="2"/>
          </w:tcPr>
          <w:p w:rsidR="00CD6A25" w:rsidRDefault="00000000">
            <w:pPr>
              <w:keepNext/>
              <w:widowControl w:val="0"/>
              <w:spacing w:after="0" w:line="240" w:lineRule="auto"/>
              <w:jc w:val="center"/>
              <w:rPr>
                <w:b/>
                <w:szCs w:val="24"/>
              </w:rPr>
            </w:pPr>
            <w:r>
              <w:rPr>
                <w:b/>
              </w:rPr>
              <w:t>One Year Goals for the Number of Households Supported Through</w:t>
            </w:r>
          </w:p>
        </w:tc>
      </w:tr>
      <w:tr w:rsidR="00CD6A25">
        <w:trPr>
          <w:cantSplit/>
        </w:trPr>
        <w:tc>
          <w:tcPr>
            <w:tcW w:w="4853" w:type="dxa"/>
            <w:tcBorders>
              <w:top w:val="nil"/>
              <w:bottom w:val="nil"/>
            </w:tcBorders>
            <w:vAlign w:val="bottom"/>
          </w:tcPr>
          <w:p w:rsidR="00CD6A25" w:rsidRDefault="00000000">
            <w:pPr>
              <w:spacing w:beforeAutospacing="1" w:afterAutospacing="1"/>
            </w:pPr>
            <w:r>
              <w:rPr>
                <w:color w:val="000000"/>
              </w:rPr>
              <w:t>Rental Assistance</w:t>
            </w:r>
          </w:p>
        </w:tc>
        <w:tc>
          <w:tcPr>
            <w:tcW w:w="1620" w:type="dxa"/>
            <w:tcBorders>
              <w:top w:val="nil"/>
              <w:bottom w:val="nil"/>
            </w:tcBorders>
            <w:vAlign w:val="bottom"/>
          </w:tcPr>
          <w:p w:rsidR="00CD6A25" w:rsidRDefault="00000000">
            <w:pPr>
              <w:spacing w:beforeAutospacing="1" w:afterAutospacing="1"/>
              <w:jc w:val="right"/>
            </w:pPr>
            <w:r>
              <w:rPr>
                <w:color w:val="000000"/>
              </w:rPr>
              <w:t>20</w:t>
            </w:r>
          </w:p>
        </w:tc>
      </w:tr>
      <w:tr w:rsidR="00CD6A25">
        <w:trPr>
          <w:cantSplit/>
        </w:trPr>
        <w:tc>
          <w:tcPr>
            <w:tcW w:w="4853" w:type="dxa"/>
            <w:tcBorders>
              <w:top w:val="nil"/>
              <w:bottom w:val="nil"/>
            </w:tcBorders>
            <w:vAlign w:val="bottom"/>
          </w:tcPr>
          <w:p w:rsidR="00CD6A25" w:rsidRDefault="00000000">
            <w:pPr>
              <w:spacing w:beforeAutospacing="1" w:afterAutospacing="1"/>
            </w:pPr>
            <w:r>
              <w:rPr>
                <w:color w:val="000000"/>
              </w:rPr>
              <w:lastRenderedPageBreak/>
              <w:t>The Production of New Units</w:t>
            </w:r>
          </w:p>
        </w:tc>
        <w:tc>
          <w:tcPr>
            <w:tcW w:w="1620" w:type="dxa"/>
            <w:tcBorders>
              <w:top w:val="nil"/>
              <w:bottom w:val="nil"/>
            </w:tcBorders>
            <w:vAlign w:val="bottom"/>
          </w:tcPr>
          <w:p w:rsidR="00CD6A25" w:rsidRDefault="00000000">
            <w:pPr>
              <w:spacing w:beforeAutospacing="1" w:afterAutospacing="1"/>
              <w:jc w:val="right"/>
            </w:pPr>
            <w:r>
              <w:rPr>
                <w:color w:val="000000"/>
              </w:rPr>
              <w:t>60</w:t>
            </w:r>
          </w:p>
        </w:tc>
      </w:tr>
      <w:tr w:rsidR="00CD6A25">
        <w:trPr>
          <w:cantSplit/>
        </w:trPr>
        <w:tc>
          <w:tcPr>
            <w:tcW w:w="4853" w:type="dxa"/>
            <w:tcBorders>
              <w:top w:val="nil"/>
              <w:bottom w:val="nil"/>
            </w:tcBorders>
            <w:vAlign w:val="bottom"/>
          </w:tcPr>
          <w:p w:rsidR="00CD6A25" w:rsidRDefault="00000000">
            <w:pPr>
              <w:spacing w:beforeAutospacing="1" w:afterAutospacing="1"/>
            </w:pPr>
            <w:r>
              <w:rPr>
                <w:color w:val="000000"/>
              </w:rPr>
              <w:t>Rehab of Existing Units</w:t>
            </w:r>
          </w:p>
        </w:tc>
        <w:tc>
          <w:tcPr>
            <w:tcW w:w="1620" w:type="dxa"/>
            <w:tcBorders>
              <w:top w:val="nil"/>
              <w:bottom w:val="nil"/>
            </w:tcBorders>
            <w:vAlign w:val="bottom"/>
          </w:tcPr>
          <w:p w:rsidR="00CD6A25" w:rsidRDefault="00000000">
            <w:pPr>
              <w:spacing w:beforeAutospacing="1" w:afterAutospacing="1"/>
              <w:jc w:val="right"/>
            </w:pPr>
            <w:r>
              <w:rPr>
                <w:color w:val="000000"/>
              </w:rPr>
              <w:t>388</w:t>
            </w:r>
          </w:p>
        </w:tc>
      </w:tr>
      <w:tr w:rsidR="00CD6A25">
        <w:trPr>
          <w:cantSplit/>
        </w:trPr>
        <w:tc>
          <w:tcPr>
            <w:tcW w:w="4853" w:type="dxa"/>
            <w:tcBorders>
              <w:top w:val="nil"/>
              <w:bottom w:val="nil"/>
            </w:tcBorders>
            <w:vAlign w:val="bottom"/>
          </w:tcPr>
          <w:p w:rsidR="00CD6A25" w:rsidRDefault="00000000">
            <w:pPr>
              <w:spacing w:beforeAutospacing="1" w:afterAutospacing="1"/>
            </w:pPr>
            <w:r>
              <w:rPr>
                <w:color w:val="000000"/>
              </w:rPr>
              <w:t>Acquisition of Existing Units</w:t>
            </w:r>
          </w:p>
        </w:tc>
        <w:tc>
          <w:tcPr>
            <w:tcW w:w="1620" w:type="dxa"/>
            <w:tcBorders>
              <w:top w:val="nil"/>
              <w:bottom w:val="nil"/>
            </w:tcBorders>
            <w:vAlign w:val="bottom"/>
          </w:tcPr>
          <w:p w:rsidR="00CD6A25" w:rsidRDefault="00000000">
            <w:pPr>
              <w:spacing w:beforeAutospacing="1" w:afterAutospacing="1"/>
              <w:jc w:val="right"/>
            </w:pPr>
            <w:r>
              <w:rPr>
                <w:color w:val="000000"/>
              </w:rPr>
              <w:t>36</w:t>
            </w:r>
          </w:p>
        </w:tc>
      </w:tr>
      <w:tr w:rsidR="00CD6A25">
        <w:trPr>
          <w:cantSplit/>
        </w:trPr>
        <w:tc>
          <w:tcPr>
            <w:tcW w:w="4853" w:type="dxa"/>
            <w:tcBorders>
              <w:top w:val="nil"/>
              <w:bottom w:val="nil"/>
            </w:tcBorders>
            <w:vAlign w:val="bottom"/>
          </w:tcPr>
          <w:p w:rsidR="00CD6A25" w:rsidRDefault="00000000">
            <w:pPr>
              <w:spacing w:beforeAutospacing="1" w:afterAutospacing="1"/>
            </w:pPr>
            <w:r>
              <w:rPr>
                <w:color w:val="000000"/>
              </w:rPr>
              <w:t>Total</w:t>
            </w:r>
          </w:p>
        </w:tc>
        <w:tc>
          <w:tcPr>
            <w:tcW w:w="1620" w:type="dxa"/>
            <w:tcBorders>
              <w:top w:val="nil"/>
              <w:bottom w:val="nil"/>
            </w:tcBorders>
            <w:vAlign w:val="bottom"/>
          </w:tcPr>
          <w:p w:rsidR="00CD6A25" w:rsidRDefault="00000000">
            <w:pPr>
              <w:spacing w:beforeAutospacing="1" w:afterAutospacing="1"/>
              <w:jc w:val="right"/>
            </w:pPr>
            <w:r>
              <w:rPr>
                <w:color w:val="000000"/>
              </w:rPr>
              <w:t>504</w:t>
            </w:r>
          </w:p>
        </w:tc>
      </w:tr>
    </w:tbl>
    <w:p w:rsidR="00CD6A25" w:rsidRDefault="00000000">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t xml:space="preserve"> - One Year Goals for Affordable Housing by Support Type</w:t>
      </w:r>
    </w:p>
    <w:p w:rsidR="00CD6A25" w:rsidRDefault="00CD6A25">
      <w:pPr>
        <w:keepNext/>
        <w:widowControl w:val="0"/>
        <w:spacing w:line="204" w:lineRule="auto"/>
        <w:rPr>
          <w:b/>
          <w:sz w:val="24"/>
          <w:szCs w:val="24"/>
        </w:rPr>
      </w:pPr>
    </w:p>
    <w:p w:rsidR="00CD6A25" w:rsidRDefault="00000000">
      <w:pPr>
        <w:keepNext/>
        <w:widowControl w:val="0"/>
        <w:spacing w:line="204" w:lineRule="auto"/>
        <w:rPr>
          <w:b/>
          <w:sz w:val="24"/>
          <w:szCs w:val="24"/>
        </w:rPr>
      </w:pPr>
      <w:r>
        <w:rPr>
          <w:b/>
          <w:sz w:val="24"/>
          <w:szCs w:val="24"/>
        </w:rPr>
        <w:t>Discussion</w:t>
      </w:r>
    </w:p>
    <w:p w:rsidR="00CD6A25" w:rsidRDefault="00000000">
      <w:pPr>
        <w:keepNext/>
        <w:widowControl w:val="0"/>
        <w:spacing w:beforeAutospacing="1" w:afterAutospacing="1"/>
        <w:rPr>
          <w:b/>
          <w:sz w:val="24"/>
          <w:szCs w:val="24"/>
        </w:rPr>
      </w:pPr>
      <w:r>
        <w:rPr>
          <w:rFonts w:cs="Arial"/>
        </w:rPr>
        <w:t xml:space="preserve">The City of Albuquerque continues to be committed to improving the availability of affordable housing options to residents. To accomplish this, the </w:t>
      </w:r>
      <w:proofErr w:type="gramStart"/>
      <w:r>
        <w:rPr>
          <w:rFonts w:cs="Arial"/>
        </w:rPr>
        <w:t>City</w:t>
      </w:r>
      <w:proofErr w:type="gramEnd"/>
      <w:r>
        <w:rPr>
          <w:rFonts w:cs="Arial"/>
        </w:rPr>
        <w:t xml:space="preserve"> continues to collaborate with partners to develop affordable housing, preserve affordable housing, provide rental assistance and mortgage reduction assistance. Along with its many partners, that implement these activities, the Department continues to make progress in providing and preserving affordable housing. To leverage its HUD entitlement grants to develop affordable housing, Community Development requested additional funding for the 2025 Program Year to provide more affordable housing through a variety of strategies. </w:t>
      </w:r>
    </w:p>
    <w:p w:rsidR="00CD6A25" w:rsidRDefault="00000000">
      <w:pPr>
        <w:keepNext/>
        <w:widowControl w:val="0"/>
        <w:spacing w:beforeAutospacing="1" w:afterAutospacing="1"/>
        <w:rPr>
          <w:b/>
          <w:sz w:val="24"/>
          <w:szCs w:val="24"/>
        </w:rPr>
      </w:pPr>
      <w:r>
        <w:rPr>
          <w:rFonts w:cs="Arial"/>
        </w:rPr>
        <w:t>In addition, the City’s ARPA funded Home Rehabilitation Program will continue to serve low- to moderate-income homeowners with much needed repairs that will allow them to remain in their homes. In continued efforts to preserve affordable housing, the City will partner with I-CAST to weatherize 594 units across 8 City owned properties. This will include new breaker boxes, water heaters, furnaces, energy efficiency faucets, showerheads, lighting and smart thermostats. </w:t>
      </w:r>
    </w:p>
    <w:p w:rsidR="00CD6A25" w:rsidRDefault="00000000">
      <w:pPr>
        <w:keepNext/>
        <w:widowControl w:val="0"/>
        <w:spacing w:beforeAutospacing="1" w:afterAutospacing="1"/>
        <w:rPr>
          <w:b/>
          <w:sz w:val="24"/>
          <w:szCs w:val="24"/>
        </w:rPr>
      </w:pPr>
      <w:r>
        <w:rPr>
          <w:rFonts w:cs="Arial"/>
        </w:rPr>
        <w:t xml:space="preserve">During the 2025 Program Year the City will also have several affordable housing projects in various stages of development. The first is Casitas del Camino, funded with $3,500,000 in Workforce Housing Trust Funds (WHTF). The 88-unit affordable housing development will be under construction during the program year. Route 66 Flats Development, consisting of 47 units of permanent supportive housing, was funded with $1,701,355 in WHTF. This development will also be under construction during PY 2025. An 82-unit affordable housing development for seniors, </w:t>
      </w:r>
      <w:proofErr w:type="spellStart"/>
      <w:r>
        <w:rPr>
          <w:rFonts w:cs="Arial"/>
        </w:rPr>
        <w:t>Farolito</w:t>
      </w:r>
      <w:proofErr w:type="spellEnd"/>
      <w:r>
        <w:rPr>
          <w:rFonts w:cs="Arial"/>
        </w:rPr>
        <w:t xml:space="preserve"> Senior Community, will be under construction during the 2025 Program Year. </w:t>
      </w:r>
      <w:proofErr w:type="spellStart"/>
      <w:r>
        <w:rPr>
          <w:rFonts w:cs="Arial"/>
        </w:rPr>
        <w:t>Farolito</w:t>
      </w:r>
      <w:proofErr w:type="spellEnd"/>
      <w:r>
        <w:rPr>
          <w:rFonts w:cs="Arial"/>
        </w:rPr>
        <w:t xml:space="preserve"> was funded with $4,187,152 in HOME and $3,000,000 in Coronavirus State and Local Fiscal Recovery Funds (CSLFRF). Another development that will be under construction during PY 2025 is West Mesa Ridge. West Mesa Ridge is a 128-unit development for low- to moderate-income households. The development was funded with $8,000,000 in Housing Forward Fund (HFF). </w:t>
      </w:r>
      <w:proofErr w:type="spellStart"/>
      <w:r>
        <w:rPr>
          <w:rFonts w:cs="Arial"/>
        </w:rPr>
        <w:t>Somos</w:t>
      </w:r>
      <w:proofErr w:type="spellEnd"/>
      <w:r>
        <w:rPr>
          <w:rFonts w:cs="Arial"/>
        </w:rPr>
        <w:t>, a mixed income development containing 70 units, of which 59 are affordable was funded with $5,179,187.54 in HOME and $1,000,000 in CSLFRF funds. The project is planned to be under construction during the program year also. Finally, the Uptown Connect project will be under construction as well. Uptown Connect was funded with $8,356,656 of WHTF, as well as $1,100,000 of State Legislative funding. The project will contain a total of 239 units with 203 of those units being affordable for those households at or below 80% AMI.</w:t>
      </w:r>
    </w:p>
    <w:p w:rsidR="00CD6A25" w:rsidRDefault="00CD6A25">
      <w:pPr>
        <w:rPr>
          <w:rFonts w:cs="Arial"/>
        </w:rPr>
      </w:pPr>
    </w:p>
    <w:p w:rsidR="00CD6A25" w:rsidRDefault="00CD6A25">
      <w:pPr>
        <w:rPr>
          <w:rFonts w:cs="Arial"/>
        </w:rPr>
      </w:pPr>
    </w:p>
    <w:p w:rsidR="00CD6A25" w:rsidRDefault="00000000">
      <w:pPr>
        <w:pStyle w:val="Heading2"/>
        <w:pageBreakBefore/>
        <w:widowControl w:val="0"/>
        <w:rPr>
          <w:rFonts w:ascii="Calibri" w:hAnsi="Calibri"/>
          <w:i w:val="0"/>
        </w:rPr>
      </w:pPr>
      <w:r>
        <w:rPr>
          <w:rFonts w:ascii="Calibri" w:hAnsi="Calibri"/>
          <w:i w:val="0"/>
        </w:rPr>
        <w:lastRenderedPageBreak/>
        <w:t xml:space="preserve">AP-60 Public Housing </w:t>
      </w:r>
      <w:r>
        <w:t>–</w:t>
      </w:r>
      <w:r>
        <w:rPr>
          <w:i w:val="0"/>
        </w:rPr>
        <w:t xml:space="preserve"> 91.220(h)</w:t>
      </w:r>
    </w:p>
    <w:p w:rsidR="00CD6A25" w:rsidRDefault="00000000">
      <w:pPr>
        <w:keepNext/>
        <w:widowControl w:val="0"/>
        <w:spacing w:line="204" w:lineRule="auto"/>
        <w:rPr>
          <w:b/>
          <w:sz w:val="24"/>
          <w:szCs w:val="24"/>
        </w:rPr>
      </w:pPr>
      <w:r>
        <w:rPr>
          <w:b/>
          <w:sz w:val="24"/>
          <w:szCs w:val="24"/>
        </w:rPr>
        <w:t>Introduction</w:t>
      </w:r>
    </w:p>
    <w:p w:rsidR="00CD6A25" w:rsidRDefault="00000000">
      <w:pPr>
        <w:keepNext/>
        <w:widowControl w:val="0"/>
        <w:spacing w:beforeAutospacing="1" w:afterAutospacing="1"/>
        <w:rPr>
          <w:b/>
          <w:sz w:val="24"/>
          <w:szCs w:val="24"/>
        </w:rPr>
      </w:pPr>
      <w:r>
        <w:rPr>
          <w:rFonts w:cs="Arial"/>
        </w:rPr>
        <w:t>Public housing and other assisted housing programs are part of the City of Albuquerque's efforts to address the affordable housing needs of low- and moderate-income families. The Albuquerque Housing Authority (AHA) oversees the public housing program for the City. AHA's mission is: "Empowering people in our community through affordable housing and self-sufficiency opportunities." </w:t>
      </w:r>
    </w:p>
    <w:p w:rsidR="00CD6A25" w:rsidRDefault="00000000">
      <w:pPr>
        <w:keepNext/>
        <w:widowControl w:val="0"/>
        <w:spacing w:beforeAutospacing="1" w:afterAutospacing="1"/>
        <w:rPr>
          <w:b/>
          <w:sz w:val="24"/>
          <w:szCs w:val="24"/>
        </w:rPr>
      </w:pPr>
      <w:r>
        <w:rPr>
          <w:rFonts w:cs="Arial"/>
        </w:rPr>
        <w:t>Given the extremely large quantity of aging housing stock both in AHA's portfolio and that of various private and non-profit entities, the need for maintenance and rehabilitation of the rental housing stock is significant. This has been stressed over time by not only Housing Authority leadership and staff but other community members as well. AHA will continue to address their aging housing stock through renovations and updates to properties.</w:t>
      </w:r>
    </w:p>
    <w:p w:rsidR="00CD6A25" w:rsidRDefault="00000000">
      <w:pPr>
        <w:keepNext/>
        <w:widowControl w:val="0"/>
        <w:rPr>
          <w:b/>
          <w:sz w:val="24"/>
          <w:szCs w:val="24"/>
        </w:rPr>
      </w:pPr>
      <w:r>
        <w:rPr>
          <w:b/>
          <w:sz w:val="24"/>
          <w:szCs w:val="24"/>
        </w:rPr>
        <w:t>Actions planned during the next year to address the needs to public housing</w:t>
      </w:r>
    </w:p>
    <w:p w:rsidR="00CD6A25" w:rsidRDefault="00000000">
      <w:pPr>
        <w:keepNext/>
        <w:widowControl w:val="0"/>
        <w:spacing w:beforeAutospacing="1" w:afterAutospacing="1"/>
        <w:rPr>
          <w:rFonts w:cs="Arial"/>
        </w:rPr>
      </w:pPr>
      <w:r>
        <w:rPr>
          <w:rFonts w:cs="Arial"/>
        </w:rPr>
        <w:t>During their 2025 fiscal year, AHA will continue to work on goals from their previous annual plans. Those goals include the following: Improve Quantity of Housing; Improve Quality of Housing; Increase Mobility of Low-Income Households through the HCV Voucher Program; Neighborhood Stabilization Activities; and Improve Housing Readiness and Housing Stability. Though the goals are the same, the goals are addressed through different activities each year.</w:t>
      </w:r>
    </w:p>
    <w:p w:rsidR="00CD6A25" w:rsidRDefault="00000000">
      <w:pPr>
        <w:keepNext/>
        <w:widowControl w:val="0"/>
        <w:spacing w:beforeAutospacing="1" w:afterAutospacing="1"/>
        <w:rPr>
          <w:rFonts w:cs="Arial"/>
        </w:rPr>
      </w:pPr>
      <w:r>
        <w:rPr>
          <w:rFonts w:cs="Arial"/>
        </w:rPr>
        <w:t>The City and AHA will continue their partnership in implementing the Choice Neighborhood Planning Grant that was awarded during PY 2023. The $500,000 Planning Grant will be leveraged with $204,000 in City matching funds. The Choice Neighborhoods Initiative is focused on the following three core goals:  </w:t>
      </w:r>
    </w:p>
    <w:p w:rsidR="00CD6A25" w:rsidRDefault="00000000">
      <w:pPr>
        <w:numPr>
          <w:ilvl w:val="0"/>
          <w:numId w:val="19"/>
        </w:numPr>
        <w:spacing w:beforeAutospacing="1" w:afterAutospacing="1"/>
      </w:pPr>
      <w:r>
        <w:rPr>
          <w:rFonts w:cs="Arial"/>
          <w:b/>
          <w:u w:val="single"/>
        </w:rPr>
        <w:t>Housing:</w:t>
      </w:r>
      <w:r>
        <w:rPr>
          <w:rFonts w:cs="Arial"/>
          <w:b/>
        </w:rPr>
        <w:t> </w:t>
      </w:r>
      <w:r>
        <w:rPr>
          <w:rFonts w:cs="Arial"/>
        </w:rPr>
        <w:t>Transform distressed public and assisted housing into energy efficient, mixed income housing that is physically and financially viable over the long term.</w:t>
      </w:r>
    </w:p>
    <w:p w:rsidR="00CD6A25" w:rsidRDefault="00000000">
      <w:pPr>
        <w:numPr>
          <w:ilvl w:val="0"/>
          <w:numId w:val="19"/>
        </w:numPr>
        <w:spacing w:beforeAutospacing="1" w:afterAutospacing="1"/>
      </w:pPr>
      <w:r>
        <w:rPr>
          <w:rFonts w:cs="Arial"/>
          <w:b/>
          <w:u w:val="single"/>
        </w:rPr>
        <w:t>People:</w:t>
      </w:r>
      <w:r>
        <w:rPr>
          <w:rFonts w:cs="Arial"/>
          <w:b/>
        </w:rPr>
        <w:t> </w:t>
      </w:r>
      <w:r>
        <w:rPr>
          <w:rFonts w:cs="Arial"/>
        </w:rPr>
        <w:t>Support positive outcomes for families who live in the target developments and the surrounding neighborhood, particularly outcomes related to resident’s education, health and recreation, safety, employment, and mobility; and</w:t>
      </w:r>
    </w:p>
    <w:p w:rsidR="00CD6A25" w:rsidRDefault="00000000">
      <w:pPr>
        <w:numPr>
          <w:ilvl w:val="0"/>
          <w:numId w:val="19"/>
        </w:numPr>
        <w:spacing w:beforeAutospacing="1" w:afterAutospacing="1"/>
      </w:pPr>
      <w:r>
        <w:rPr>
          <w:rFonts w:cs="Arial"/>
          <w:b/>
          <w:u w:val="single"/>
        </w:rPr>
        <w:t>Neighborhood:</w:t>
      </w:r>
      <w:r>
        <w:rPr>
          <w:rFonts w:cs="Arial"/>
          <w:b/>
        </w:rPr>
        <w:t> </w:t>
      </w:r>
      <w:r>
        <w:rPr>
          <w:rFonts w:cs="Arial"/>
        </w:rPr>
        <w:t>Transform distressed, high-poverty neighborhoods into viable, mixed-income neighborhoods with access to well-functioning services, high quality public schools and education programs, high quality early learning programs and services, public assets, public transportation, andimproved access to jobs.</w:t>
      </w:r>
    </w:p>
    <w:p w:rsidR="00CD6A25" w:rsidRDefault="00000000">
      <w:pPr>
        <w:keepNext/>
        <w:widowControl w:val="0"/>
        <w:spacing w:beforeAutospacing="1" w:afterAutospacing="1"/>
        <w:rPr>
          <w:rFonts w:cs="Arial"/>
        </w:rPr>
      </w:pPr>
      <w:r>
        <w:rPr>
          <w:rFonts w:cs="Arial"/>
        </w:rPr>
        <w:t xml:space="preserve">A portion of the funding will support an early action activity that will provide physical neighborhood improvements during the planning period. During PY 2025, early action activities will be completed and a Transformation Plan will be submitted to HUD. The early action activities will consist of adding additional seating and gathering areas, raised garden beds, play areas, picnic areas, and art to be </w:t>
      </w:r>
      <w:r>
        <w:rPr>
          <w:rFonts w:cs="Arial"/>
        </w:rPr>
        <w:lastRenderedPageBreak/>
        <w:t>featured on Public Housing property walls and asphalt areas around the properties in an effort to link the properties to the larger neighborhood. The Transformation Plan will include the redevelopment and/or addition of affordable housing in the neighborhood, which could include the 3 public housing properties. If the Transformation Plan is approved by HUD’s Choice Neighborhood Initiative office, it would mean millions of dollars for the redevelopment of the properties and progress towards transforming the neighborhood. </w:t>
      </w:r>
    </w:p>
    <w:p w:rsidR="00CD6A25" w:rsidRDefault="00000000">
      <w:pPr>
        <w:keepNext/>
        <w:widowControl w:val="0"/>
        <w:rPr>
          <w:b/>
          <w:sz w:val="24"/>
          <w:szCs w:val="24"/>
        </w:rPr>
      </w:pPr>
      <w:r>
        <w:rPr>
          <w:b/>
          <w:sz w:val="24"/>
          <w:szCs w:val="24"/>
        </w:rPr>
        <w:t>Actions to encourage public housing residents to become more involved in management and participate in homeownership</w:t>
      </w:r>
    </w:p>
    <w:p w:rsidR="00CD6A25" w:rsidRDefault="00000000">
      <w:pPr>
        <w:keepNext/>
        <w:widowControl w:val="0"/>
        <w:spacing w:beforeAutospacing="1" w:afterAutospacing="1"/>
        <w:rPr>
          <w:rFonts w:cs="Arial"/>
        </w:rPr>
      </w:pPr>
      <w:r>
        <w:rPr>
          <w:rFonts w:cs="Arial"/>
        </w:rPr>
        <w:t>The AHA will continue to implement the Family Self Sufficiency (FSS) Program which is aimed at empowering families so that they may create lives of greater dignity and independence. The FSS Program combines AHA's housing assistance programs with various support services. Families that participate in the FSS Program are assigned a family advocate who assists them target specific goals for success and plan strategies to reach these goals over a five-year period. Participants have the opportunity to attend seminars held by the AHA on such topics as preparing a household budget and credit repair. These combined elements assist residents on their path to self-sufficiency.</w:t>
      </w:r>
    </w:p>
    <w:p w:rsidR="00CD6A25" w:rsidRDefault="00000000">
      <w:pPr>
        <w:keepNext/>
        <w:widowControl w:val="0"/>
        <w:spacing w:beforeAutospacing="1" w:afterAutospacing="1"/>
        <w:rPr>
          <w:rFonts w:cs="Arial"/>
        </w:rPr>
      </w:pPr>
      <w:r>
        <w:rPr>
          <w:rFonts w:cs="Arial"/>
        </w:rPr>
        <w:t>The Housing Authority will also continue to encourage participation of public housing residents in the Choice Neighborhood Planning Grant process, as well as, ongoing involvement in the improvement of their properties. There are 5 ambassadors from the three public housing sites that are involved in the planning process, from attending community meetings to participating in trainings that assist them in being connected and involved in the process.</w:t>
      </w:r>
    </w:p>
    <w:p w:rsidR="00CD6A25" w:rsidRDefault="00000000">
      <w:pPr>
        <w:keepNext/>
        <w:widowControl w:val="0"/>
        <w:rPr>
          <w:b/>
          <w:sz w:val="24"/>
          <w:szCs w:val="24"/>
        </w:rPr>
      </w:pPr>
      <w:r>
        <w:rPr>
          <w:b/>
          <w:sz w:val="24"/>
          <w:szCs w:val="24"/>
        </w:rPr>
        <w:t xml:space="preserve">If the PHA is designated as troubled, describe the manner in which financial assistance will be provided or other assistance </w:t>
      </w:r>
    </w:p>
    <w:p w:rsidR="00CD6A25" w:rsidRDefault="00000000">
      <w:pPr>
        <w:keepNext/>
        <w:widowControl w:val="0"/>
        <w:spacing w:beforeAutospacing="1" w:afterAutospacing="1"/>
        <w:rPr>
          <w:rFonts w:cs="Arial"/>
          <w:szCs w:val="26"/>
        </w:rPr>
      </w:pPr>
      <w:r>
        <w:rPr>
          <w:rFonts w:cs="Arial"/>
        </w:rPr>
        <w:t>N/A</w:t>
      </w:r>
    </w:p>
    <w:p w:rsidR="00CD6A25" w:rsidRDefault="00000000">
      <w:pPr>
        <w:keepNext/>
        <w:widowControl w:val="0"/>
        <w:spacing w:line="204" w:lineRule="auto"/>
        <w:rPr>
          <w:b/>
          <w:sz w:val="24"/>
          <w:szCs w:val="24"/>
        </w:rPr>
      </w:pPr>
      <w:r>
        <w:rPr>
          <w:b/>
          <w:sz w:val="24"/>
          <w:szCs w:val="24"/>
        </w:rPr>
        <w:t>Discussion</w:t>
      </w:r>
    </w:p>
    <w:p w:rsidR="00CD6A25" w:rsidRDefault="00000000">
      <w:pPr>
        <w:keepNext/>
        <w:widowControl w:val="0"/>
        <w:spacing w:beforeAutospacing="1" w:afterAutospacing="1"/>
        <w:rPr>
          <w:b/>
          <w:sz w:val="24"/>
          <w:szCs w:val="24"/>
        </w:rPr>
      </w:pPr>
      <w:r>
        <w:rPr>
          <w:rFonts w:cs="Arial"/>
        </w:rPr>
        <w:t xml:space="preserve">The </w:t>
      </w:r>
      <w:proofErr w:type="gramStart"/>
      <w:r>
        <w:rPr>
          <w:rFonts w:cs="Arial"/>
        </w:rPr>
        <w:t>City</w:t>
      </w:r>
      <w:proofErr w:type="gramEnd"/>
      <w:r>
        <w:rPr>
          <w:rFonts w:cs="Arial"/>
        </w:rPr>
        <w:t xml:space="preserve"> and the AHA continue to share common goals in their efforts to preserve the available affordable housing units. The Choice Neighborhood Planning Grant and Transformation Plan are examples of this shared goal and the efforts of the City and AHA’s partnership in an to meet these goals. The ongoing partnership between the City and AHA is in line with AHA's Plan to improve the quality of affordable housing for households at or below 80% area median income (AMI).</w:t>
      </w:r>
    </w:p>
    <w:p w:rsidR="00CD6A25" w:rsidRDefault="00000000">
      <w:pPr>
        <w:keepNext/>
        <w:widowControl w:val="0"/>
        <w:spacing w:beforeAutospacing="1" w:afterAutospacing="1"/>
        <w:rPr>
          <w:b/>
          <w:sz w:val="24"/>
          <w:szCs w:val="24"/>
        </w:rPr>
      </w:pPr>
      <w:r>
        <w:rPr>
          <w:rFonts w:cs="Arial"/>
        </w:rPr>
        <w:t>The City and AHA will enter into a contract to preserve affordable housing utilizing PY 2024 CDBG funds. Some of these preservation efforts will include replacing flooring, windows, as well as kitchen and bathroom cabinetry in approximately 60 public housing units located at 7 AHA properties.</w:t>
      </w:r>
    </w:p>
    <w:p w:rsidR="00CD6A25" w:rsidRDefault="00000000">
      <w:pPr>
        <w:pStyle w:val="Heading2"/>
        <w:pageBreakBefore/>
        <w:widowControl w:val="0"/>
        <w:rPr>
          <w:rFonts w:ascii="Calibri" w:hAnsi="Calibri"/>
          <w:i w:val="0"/>
        </w:rPr>
      </w:pPr>
      <w:r>
        <w:rPr>
          <w:rFonts w:ascii="Calibri" w:hAnsi="Calibri"/>
          <w:i w:val="0"/>
        </w:rPr>
        <w:lastRenderedPageBreak/>
        <w:t>AP-65 Homeless and Other Special Needs Activities – 91.220(</w:t>
      </w:r>
      <w:proofErr w:type="spellStart"/>
      <w:r>
        <w:rPr>
          <w:rFonts w:ascii="Calibri" w:hAnsi="Calibri"/>
          <w:i w:val="0"/>
        </w:rPr>
        <w:t>i</w:t>
      </w:r>
      <w:proofErr w:type="spellEnd"/>
      <w:r>
        <w:rPr>
          <w:rFonts w:ascii="Calibri" w:hAnsi="Calibri"/>
          <w:i w:val="0"/>
        </w:rPr>
        <w:t>)</w:t>
      </w:r>
    </w:p>
    <w:p w:rsidR="00CD6A25" w:rsidRDefault="00000000">
      <w:pPr>
        <w:keepNext/>
        <w:widowControl w:val="0"/>
        <w:spacing w:line="204" w:lineRule="auto"/>
        <w:rPr>
          <w:b/>
          <w:sz w:val="24"/>
          <w:szCs w:val="24"/>
        </w:rPr>
      </w:pPr>
      <w:r>
        <w:rPr>
          <w:b/>
          <w:sz w:val="24"/>
          <w:szCs w:val="24"/>
        </w:rPr>
        <w:t>Introduction</w:t>
      </w:r>
    </w:p>
    <w:p w:rsidR="00CD6A25" w:rsidRDefault="00000000">
      <w:pPr>
        <w:keepNext/>
        <w:widowControl w:val="0"/>
        <w:spacing w:beforeAutospacing="1" w:afterAutospacing="1"/>
        <w:rPr>
          <w:b/>
          <w:sz w:val="24"/>
          <w:szCs w:val="24"/>
        </w:rPr>
      </w:pPr>
      <w:r>
        <w:rPr>
          <w:rFonts w:cs="Arial"/>
        </w:rPr>
        <w:t>The key solution to ending homelessness is the stewarding of persons experiencing homelessness through the transition to permanent housing closely aligned with supportive services that ensure housing stability. However, because the demand for affordable housing far outpaces the supply, the Albuquerque Continuum of Care (CoC) continues to rely on its emergency and transitional housing system in order to address the immediate needs of Albuquerque’s homeless population.</w:t>
      </w:r>
    </w:p>
    <w:p w:rsidR="00CD6A25" w:rsidRDefault="00000000">
      <w:pPr>
        <w:keepNext/>
        <w:widowControl w:val="0"/>
        <w:rPr>
          <w:b/>
          <w:sz w:val="24"/>
          <w:szCs w:val="24"/>
        </w:rPr>
      </w:pPr>
      <w:r>
        <w:rPr>
          <w:b/>
          <w:sz w:val="24"/>
          <w:szCs w:val="24"/>
        </w:rPr>
        <w:t>Describe the jurisdictions one-year goals and actions for reducing and ending homelessness including</w:t>
      </w:r>
    </w:p>
    <w:p w:rsidR="00CD6A25" w:rsidRDefault="00000000">
      <w:pPr>
        <w:keepNext/>
        <w:widowControl w:val="0"/>
        <w:rPr>
          <w:b/>
          <w:sz w:val="24"/>
          <w:szCs w:val="24"/>
        </w:rPr>
      </w:pPr>
      <w:r>
        <w:rPr>
          <w:b/>
          <w:sz w:val="24"/>
          <w:szCs w:val="24"/>
        </w:rPr>
        <w:t>Reaching out to homeless persons (especially unsheltered persons) and assessing their individual needs</w:t>
      </w:r>
    </w:p>
    <w:p w:rsidR="00CD6A25" w:rsidRDefault="00000000">
      <w:pPr>
        <w:keepNext/>
        <w:widowControl w:val="0"/>
        <w:spacing w:beforeAutospacing="1" w:afterAutospacing="1"/>
        <w:rPr>
          <w:rFonts w:cs="Arial"/>
        </w:rPr>
      </w:pPr>
      <w:r>
        <w:rPr>
          <w:rFonts w:cs="Arial"/>
        </w:rPr>
        <w:t>The Continuum of Care (CoC) is the coordinated approach that addresses physical, economic, and social needs of the homeless population. Services organized within the Continuum of Care include emergency shelter, transitional and permanent housing, and supportive services. The New Mexico Coalition to End Homelessness (NMCEH), is the leader of this process. NMCEH convenes, manages, and leads the Balance of State Continuum of Care Coalition. The City of Albuquerque and a variety of community service organizations provide an array of services for the homeless population in Albuquerque.</w:t>
      </w:r>
    </w:p>
    <w:p w:rsidR="00CD6A25" w:rsidRDefault="00000000">
      <w:pPr>
        <w:keepNext/>
        <w:widowControl w:val="0"/>
        <w:spacing w:beforeAutospacing="1" w:afterAutospacing="1"/>
        <w:rPr>
          <w:rFonts w:cs="Arial"/>
        </w:rPr>
      </w:pPr>
      <w:r>
        <w:rPr>
          <w:rFonts w:cs="Arial"/>
        </w:rPr>
        <w:t xml:space="preserve">Once assessed, vulnerable individuals are assisted by the provider agency. The City funds over 25 different social services non-profits. These agencies provide a variety of programs that help individuals with emergency and transitional housing, The City funds an outreach program called ABQ </w:t>
      </w:r>
      <w:proofErr w:type="spellStart"/>
      <w:r>
        <w:rPr>
          <w:rFonts w:cs="Arial"/>
        </w:rPr>
        <w:t>StreetConnect</w:t>
      </w:r>
      <w:proofErr w:type="spellEnd"/>
      <w:r>
        <w:rPr>
          <w:rFonts w:cs="Arial"/>
        </w:rPr>
        <w:t xml:space="preserve"> program which is an outreach collaborative focused on people experiencing homelessness who have the highest records of utilization of emergency service and care. The aim is to establish ongoing relationships that result in permanent supportive housing for these people. The </w:t>
      </w:r>
      <w:proofErr w:type="spellStart"/>
      <w:r>
        <w:rPr>
          <w:rFonts w:cs="Arial"/>
        </w:rPr>
        <w:t>StreetConnect</w:t>
      </w:r>
      <w:proofErr w:type="spellEnd"/>
      <w:r>
        <w:rPr>
          <w:rFonts w:cs="Arial"/>
        </w:rPr>
        <w:t xml:space="preserve"> program had previously allocated $600,000.00 in City General Funds to supplement the ESG and ESG Match funding, however, because the Albuquerque Community Safety (ACS) Program provides similar services the General Fund dollars will be allocated towards case management and to ACS. In addition, the </w:t>
      </w:r>
      <w:proofErr w:type="gramStart"/>
      <w:r>
        <w:rPr>
          <w:rFonts w:cs="Arial"/>
        </w:rPr>
        <w:t>City</w:t>
      </w:r>
      <w:proofErr w:type="gramEnd"/>
      <w:r>
        <w:rPr>
          <w:rFonts w:cs="Arial"/>
        </w:rPr>
        <w:t xml:space="preserve"> will provide funding for Case Management Services to help support clients staying at shelters begin the process of being housed.</w:t>
      </w:r>
    </w:p>
    <w:p w:rsidR="00CD6A25" w:rsidRDefault="00000000">
      <w:pPr>
        <w:keepNext/>
        <w:widowControl w:val="0"/>
        <w:spacing w:beforeAutospacing="1" w:afterAutospacing="1"/>
        <w:rPr>
          <w:rFonts w:cs="Arial"/>
        </w:rPr>
      </w:pPr>
      <w:r>
        <w:rPr>
          <w:rFonts w:cs="Arial"/>
        </w:rPr>
        <w:t xml:space="preserve">The </w:t>
      </w:r>
      <w:proofErr w:type="gramStart"/>
      <w:r>
        <w:rPr>
          <w:rFonts w:cs="Arial"/>
        </w:rPr>
        <w:t>City</w:t>
      </w:r>
      <w:proofErr w:type="gramEnd"/>
      <w:r>
        <w:rPr>
          <w:rFonts w:cs="Arial"/>
        </w:rPr>
        <w:t xml:space="preserve"> will continue to provide funding for emergency shelter and services for five local homeless service providers and over 30 housing programs. Additionally, the </w:t>
      </w:r>
      <w:proofErr w:type="gramStart"/>
      <w:r>
        <w:rPr>
          <w:rFonts w:cs="Arial"/>
        </w:rPr>
        <w:t>City</w:t>
      </w:r>
      <w:proofErr w:type="gramEnd"/>
      <w:r>
        <w:rPr>
          <w:rFonts w:cs="Arial"/>
        </w:rPr>
        <w:t xml:space="preserve"> is supporting a street outreach program, case management, and the HMIS managed by the NMCEH. While providing shelter and services for people who are currently experiencing homelessness is important, homeless prevention is also critical in reducing and ending homelessness in Albuquerque. The City is funding various programs, including eviction prevention, TBRA, landlord/tenant hotline along with preserving and developing </w:t>
      </w:r>
      <w:r>
        <w:rPr>
          <w:rFonts w:cs="Arial"/>
        </w:rPr>
        <w:lastRenderedPageBreak/>
        <w:t>affordable housing across the city.</w:t>
      </w:r>
    </w:p>
    <w:p w:rsidR="00CD6A25" w:rsidRDefault="00000000">
      <w:pPr>
        <w:keepNext/>
        <w:widowControl w:val="0"/>
        <w:rPr>
          <w:b/>
          <w:sz w:val="24"/>
          <w:szCs w:val="24"/>
        </w:rPr>
      </w:pPr>
      <w:r>
        <w:rPr>
          <w:b/>
          <w:sz w:val="24"/>
          <w:szCs w:val="24"/>
        </w:rPr>
        <w:t>Addressing the emergency shelter and transitional housing needs of homeless persons</w:t>
      </w:r>
    </w:p>
    <w:p w:rsidR="00CD6A25" w:rsidRDefault="00000000">
      <w:pPr>
        <w:keepNext/>
        <w:widowControl w:val="0"/>
        <w:spacing w:beforeAutospacing="1" w:afterAutospacing="1"/>
        <w:rPr>
          <w:rFonts w:cs="Arial"/>
        </w:rPr>
      </w:pPr>
      <w:r>
        <w:rPr>
          <w:rFonts w:cs="Arial"/>
        </w:rPr>
        <w:t>The City funds several emergency shelters that are open year-round. There is an emergency shelter for women and children, two emergency shelters that serve men, an emergency shelter for youth, and a day shelter that provides meals, showers, storage, and connection to needed resources such as housing and behavioral health services for those who are experiencing homelessness. </w:t>
      </w:r>
    </w:p>
    <w:p w:rsidR="00CD6A25" w:rsidRDefault="00000000">
      <w:pPr>
        <w:keepNext/>
        <w:widowControl w:val="0"/>
        <w:spacing w:beforeAutospacing="1" w:afterAutospacing="1"/>
        <w:rPr>
          <w:rFonts w:cs="Arial"/>
        </w:rPr>
      </w:pPr>
      <w:r>
        <w:rPr>
          <w:rFonts w:cs="Arial"/>
        </w:rPr>
        <w:t>The Gateway West is open year-round. Gateway West provides overnight shelter to men, women, children, and families. In addition, residents at Gateway West are provided with medical services and case management services that assist in connecting them to behavioral health services, housing, employment, and other supportive service needs. The Gateway West operates 24 hours a day, 7 days a week.</w:t>
      </w:r>
    </w:p>
    <w:p w:rsidR="00CD6A25" w:rsidRDefault="00000000">
      <w:pPr>
        <w:keepNext/>
        <w:widowControl w:val="0"/>
        <w:spacing w:beforeAutospacing="1" w:afterAutospacing="1"/>
        <w:rPr>
          <w:rFonts w:cs="Arial"/>
        </w:rPr>
      </w:pPr>
      <w:r>
        <w:rPr>
          <w:rFonts w:cs="Arial"/>
        </w:rPr>
        <w:t>Additionally, the City funds a transitional housing program for men and women experiencing homelessness and are recovering from substance abuse addictions. The City also funds a Tenant-Based Rental Assistance program that serves approximately 20 households including those who are homeless or at-risk of homelessness and residents with special needs for up to 24 months.</w:t>
      </w:r>
    </w:p>
    <w:p w:rsidR="00CD6A25" w:rsidRDefault="00000000">
      <w:pPr>
        <w:keepNext/>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rsidR="00CD6A25" w:rsidRDefault="00000000">
      <w:pPr>
        <w:keepNext/>
        <w:widowControl w:val="0"/>
        <w:spacing w:beforeAutospacing="1" w:afterAutospacing="1"/>
        <w:rPr>
          <w:rFonts w:cs="Arial"/>
        </w:rPr>
      </w:pPr>
      <w:r>
        <w:rPr>
          <w:rFonts w:cs="Arial"/>
        </w:rPr>
        <w:t xml:space="preserve">The </w:t>
      </w:r>
      <w:proofErr w:type="gramStart"/>
      <w:r>
        <w:rPr>
          <w:rFonts w:cs="Arial"/>
        </w:rPr>
        <w:t>City</w:t>
      </w:r>
      <w:proofErr w:type="gramEnd"/>
      <w:r>
        <w:rPr>
          <w:rFonts w:cs="Arial"/>
        </w:rPr>
        <w:t xml:space="preserve"> has invested heavily in not just Rapid </w:t>
      </w:r>
      <w:proofErr w:type="spellStart"/>
      <w:r>
        <w:rPr>
          <w:rFonts w:cs="Arial"/>
        </w:rPr>
        <w:t>ReHousing</w:t>
      </w:r>
      <w:proofErr w:type="spellEnd"/>
      <w:r>
        <w:rPr>
          <w:rFonts w:cs="Arial"/>
        </w:rPr>
        <w:t xml:space="preserve"> programs but Permanent Supportive Housing programs as well. The City will fund approximately $21 million in supportive housing programs in the 2025 Program Year. Of this, over $12 million is dedicated to 17 Permanent Supportive Housing projects. These include programs with specific population focus such as youth, medical respite, families, domestic violence survivors, and survivors of human trafficking. The New Mexico Dream Center provides services to survivors of human trafficking and youth experiencing homelessness in Albuquerque and the state. The Albuquerque CoC Permanent Supportive Housing Standards require CoC Permanent Supportive Housing providers prioritize chronically homeless individuals and families when there is an opening. The City also funds eight motel voucher programs with various agencies. These programs provide motel vouchers for various populations including those who have vouchers and are waiting for a housing unit. The City also funds motel vouchers for those who have been displaced out of their homes due to substandard conditions of the unit.</w:t>
      </w:r>
    </w:p>
    <w:p w:rsidR="00CD6A25" w:rsidRDefault="00000000">
      <w:pPr>
        <w:keepNext/>
        <w:widowControl w:val="0"/>
        <w:spacing w:beforeAutospacing="1" w:afterAutospacing="1"/>
        <w:rPr>
          <w:rFonts w:cs="Arial"/>
        </w:rPr>
      </w:pPr>
      <w:r>
        <w:rPr>
          <w:rFonts w:cs="Arial"/>
        </w:rPr>
        <w:t xml:space="preserve">Many veterans and veterans with families who are homeless or at risk of homelessness utilize the </w:t>
      </w:r>
      <w:r>
        <w:rPr>
          <w:rFonts w:cs="Arial"/>
        </w:rPr>
        <w:lastRenderedPageBreak/>
        <w:t>Supportive Services for Homeless Veteran’s Program (SSVF), the HUD VASH program with its partner, Goodwill New Mexico and Albuquerque Housing Authority. There is significant focus on veterans at the local and federal level and flexible financial and service-based resources are helping veterans in Albuquerque obtain and maintain permanent housing.</w:t>
      </w:r>
    </w:p>
    <w:p w:rsidR="00CD6A25" w:rsidRDefault="00000000">
      <w:pPr>
        <w:keepNext/>
        <w:widowControl w:val="0"/>
        <w:spacing w:beforeAutospacing="1" w:afterAutospacing="1"/>
        <w:rPr>
          <w:rFonts w:cs="Arial"/>
        </w:rPr>
      </w:pPr>
      <w:r>
        <w:rPr>
          <w:rFonts w:cs="Arial"/>
        </w:rPr>
        <w:t>In support of the Albuquerque CoC efforts, the Strategic Plan provides for the use of CDBG, HOME, ESG and General funds to support activities implemented by local nonprofit organizations that provide services to help prevent and eliminate homelessness, including families at risk of homelessness, veterans, victims of domestic violence and emancipated foster youth. The City will also leverage CDBG, HOME and General Funds to expand the supply of affordable housing in Albuquerque.</w:t>
      </w:r>
    </w:p>
    <w:p w:rsidR="00CD6A25" w:rsidRDefault="00000000">
      <w:pPr>
        <w:keepNext/>
        <w:widowControl w:val="0"/>
        <w:rPr>
          <w:b/>
          <w:sz w:val="24"/>
          <w:szCs w:val="24"/>
        </w:rPr>
      </w:pPr>
      <w:r>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rsidR="00CD6A25" w:rsidRDefault="00000000">
      <w:pPr>
        <w:keepNext/>
        <w:widowControl w:val="0"/>
        <w:spacing w:beforeAutospacing="1" w:afterAutospacing="1"/>
        <w:rPr>
          <w:rFonts w:cs="Arial"/>
          <w:szCs w:val="26"/>
        </w:rPr>
      </w:pPr>
      <w:r>
        <w:rPr>
          <w:rFonts w:cs="Arial"/>
        </w:rPr>
        <w:t>The Coordinated Entry System managed by the NMCEH is used to monitor the needs of vulnerable communities, including when people are discharged from publicly funded institutions or system of care institutions. Members of the behavioral health community meet regularly with law enforcement as part of the Mental Health Response Advisory Committee. The communication and coordination between the Albuquerque Police Department and the behavioral health community attempt to ensure that law enforcement is sensitive to the specific needs of at-risk individuals. </w:t>
      </w:r>
    </w:p>
    <w:p w:rsidR="00CD6A25" w:rsidRDefault="00000000">
      <w:pPr>
        <w:keepNext/>
        <w:widowControl w:val="0"/>
        <w:spacing w:beforeAutospacing="1" w:afterAutospacing="1"/>
        <w:rPr>
          <w:rFonts w:cs="Arial"/>
          <w:szCs w:val="26"/>
        </w:rPr>
      </w:pPr>
      <w:r>
        <w:rPr>
          <w:rFonts w:cs="Arial"/>
        </w:rPr>
        <w:t>Although significant resources have been invested in CoC homeless programs over the last 10 years, the severe lack of affordable housing continues to be a factor contributing to homelessness within the city and has led to high rent cost burdens, overcrowding, and substandard housing, not only forcing many people to become homeless but also putting a growing number of people at risk of becoming homeless. Due to several factors, COVID-19 Pandemic and increased housing costs, the housing market still remains largely unaffordable for many low-income individuals and families. </w:t>
      </w:r>
    </w:p>
    <w:p w:rsidR="00CD6A25" w:rsidRDefault="00000000">
      <w:pPr>
        <w:keepNext/>
        <w:widowControl w:val="0"/>
        <w:spacing w:beforeAutospacing="1" w:afterAutospacing="1"/>
        <w:rPr>
          <w:rFonts w:cs="Arial"/>
          <w:szCs w:val="26"/>
        </w:rPr>
      </w:pPr>
      <w:r>
        <w:rPr>
          <w:rFonts w:cs="Arial"/>
        </w:rPr>
        <w:t>The Mayor’s </w:t>
      </w:r>
      <w:r>
        <w:rPr>
          <w:rFonts w:cs="Arial"/>
          <w:i/>
        </w:rPr>
        <w:t>Albuquerque Housing Forward</w:t>
      </w:r>
      <w:r>
        <w:rPr>
          <w:rFonts w:cs="Arial"/>
        </w:rPr>
        <w:t> program is committed to addressing the housing shortage by adding housing units in the city. Through the </w:t>
      </w:r>
      <w:r>
        <w:rPr>
          <w:rFonts w:cs="Arial"/>
          <w:i/>
        </w:rPr>
        <w:t>Housing Forward </w:t>
      </w:r>
      <w:r>
        <w:rPr>
          <w:rFonts w:cs="Arial"/>
        </w:rPr>
        <w:t xml:space="preserve">program, the City has committed up to 12 million dollars in Permanent Supportive Housing Funds and is working to create more new Rapid Rehousing vouchers by the end of 2025. Additionally, the </w:t>
      </w:r>
      <w:proofErr w:type="gramStart"/>
      <w:r>
        <w:rPr>
          <w:rFonts w:cs="Arial"/>
        </w:rPr>
        <w:t>City</w:t>
      </w:r>
      <w:proofErr w:type="gramEnd"/>
      <w:r>
        <w:rPr>
          <w:rFonts w:cs="Arial"/>
        </w:rPr>
        <w:t xml:space="preserve"> is part of a community initiative, Built for Zero, with the NMCEH Bernalillo County, and the University of New Mexico. The goal of this initiative is to reach functional zero homelessness for chronically homeless families and a 50% reduction in the homelessness for non-chronically homeless families by 2025.</w:t>
      </w:r>
    </w:p>
    <w:p w:rsidR="00CD6A25" w:rsidRDefault="00000000">
      <w:pPr>
        <w:keepNext/>
        <w:widowControl w:val="0"/>
        <w:spacing w:beforeAutospacing="1" w:afterAutospacing="1"/>
        <w:rPr>
          <w:rFonts w:cs="Arial"/>
          <w:szCs w:val="26"/>
        </w:rPr>
      </w:pPr>
      <w:r>
        <w:rPr>
          <w:rFonts w:cs="Arial"/>
        </w:rPr>
        <w:t xml:space="preserve">The </w:t>
      </w:r>
      <w:proofErr w:type="gramStart"/>
      <w:r>
        <w:rPr>
          <w:rFonts w:cs="Arial"/>
        </w:rPr>
        <w:t>City</w:t>
      </w:r>
      <w:proofErr w:type="gramEnd"/>
      <w:r>
        <w:rPr>
          <w:rFonts w:cs="Arial"/>
        </w:rPr>
        <w:t xml:space="preserve"> partners with Bernalillo County and provides housing and case management funding for people </w:t>
      </w:r>
      <w:r>
        <w:rPr>
          <w:rFonts w:cs="Arial"/>
        </w:rPr>
        <w:lastRenderedPageBreak/>
        <w:t xml:space="preserve">that have been released from the Metropolitan Detention Center. The program, Community Connections, provides housing vouchers, intensive case management services and other supportive services. The City contracts with two providers, one provides the housing and the other provides case management. The </w:t>
      </w:r>
      <w:proofErr w:type="gramStart"/>
      <w:r>
        <w:rPr>
          <w:rFonts w:cs="Arial"/>
        </w:rPr>
        <w:t>City</w:t>
      </w:r>
      <w:proofErr w:type="gramEnd"/>
      <w:r>
        <w:rPr>
          <w:rFonts w:cs="Arial"/>
        </w:rPr>
        <w:t xml:space="preserve"> also collaborates with a youth homeless provider, that provides shelter services for youth that are being transitioned from CYFD's foster care program, by providing funding for shelter services. </w:t>
      </w:r>
    </w:p>
    <w:p w:rsidR="00CD6A25" w:rsidRDefault="00000000">
      <w:pPr>
        <w:keepNext/>
        <w:widowControl w:val="0"/>
        <w:spacing w:beforeAutospacing="1" w:afterAutospacing="1"/>
        <w:rPr>
          <w:rFonts w:cs="Arial"/>
          <w:szCs w:val="26"/>
        </w:rPr>
      </w:pPr>
      <w:r>
        <w:rPr>
          <w:rFonts w:cs="Arial"/>
        </w:rPr>
        <w:t>Low-income households that are in jeopardy of eviction may receive eviction prevention assistance (funded with CDBG) through the City's Health and Social Services Centers (HSSC). The City funds Rapid Rehousing and Permanent Supportive Housing programs with a mix of HUD and City dollars. Case managers with these programs work to connect participants with social services, employment, education and other needs to ensure that they do not become homeless again. The City funds a range of substance abuse programs for low-income city residents, many of whom are receiving other types of public and private assistance, to ensure that residents have access to the substance abuse treatment they need to maintain housing and employment.</w:t>
      </w:r>
    </w:p>
    <w:p w:rsidR="00CD6A25" w:rsidRDefault="00000000">
      <w:pPr>
        <w:keepNext/>
        <w:widowControl w:val="0"/>
        <w:spacing w:line="204" w:lineRule="auto"/>
        <w:rPr>
          <w:b/>
          <w:sz w:val="24"/>
          <w:szCs w:val="24"/>
        </w:rPr>
      </w:pPr>
      <w:r>
        <w:rPr>
          <w:b/>
          <w:sz w:val="24"/>
          <w:szCs w:val="24"/>
        </w:rPr>
        <w:t>Discussion</w:t>
      </w:r>
    </w:p>
    <w:p w:rsidR="00CD6A25" w:rsidRDefault="00000000">
      <w:pPr>
        <w:keepNext/>
        <w:widowControl w:val="0"/>
        <w:spacing w:beforeAutospacing="1" w:afterAutospacing="1"/>
        <w:rPr>
          <w:b/>
          <w:sz w:val="24"/>
          <w:szCs w:val="24"/>
        </w:rPr>
      </w:pPr>
      <w:r>
        <w:rPr>
          <w:rFonts w:cs="Arial"/>
        </w:rPr>
        <w:t>In Albuquerque, there are many low-income people who are not homeless but require supportive housing, including the elderly, frail elderly, persons with disabilities, persons with substance use disorder, persons with HIV/AIDS and their families and public housing residents. Many of these households are housing cost burdened and/or are living in housing that is substandard or overcrowded. These residents need safe, high-quality housing that is affordable for extremely low-income residents. Many of these residents are disconnected from services and would benefit greatly from housing that comes with case management services that can help them connect to community resources, such as meal services, mental health and substance abuse services and benefits such as SNAP, SSI or Housing Choice Vouchers. </w:t>
      </w:r>
    </w:p>
    <w:p w:rsidR="00CD6A25" w:rsidRDefault="00000000">
      <w:pPr>
        <w:keepNext/>
        <w:widowControl w:val="0"/>
        <w:spacing w:beforeAutospacing="1" w:afterAutospacing="1"/>
        <w:rPr>
          <w:b/>
          <w:sz w:val="24"/>
          <w:szCs w:val="24"/>
        </w:rPr>
      </w:pPr>
      <w:r>
        <w:rPr>
          <w:rFonts w:cs="Arial"/>
        </w:rPr>
        <w:t xml:space="preserve">The </w:t>
      </w:r>
      <w:proofErr w:type="gramStart"/>
      <w:r>
        <w:rPr>
          <w:rFonts w:cs="Arial"/>
        </w:rPr>
        <w:t>City</w:t>
      </w:r>
      <w:proofErr w:type="gramEnd"/>
      <w:r>
        <w:rPr>
          <w:rFonts w:cs="Arial"/>
        </w:rPr>
        <w:t xml:space="preserve"> will continue to implement programs aimed at ensuring homeless persons in the city are rapidly housed and offered an appropriate level of support services to meet their circumstances and keep them stably housed. Homeless service providers continue to gear their programs and maintain their focus upon moving people quickly into permanent housing. The goal of these Permanent Supportive Housing and Rapid Rehousing programs is to significantly reduce homelessness and improve the quality of life for city residents, especially those who are precariously housed.</w:t>
      </w:r>
    </w:p>
    <w:p w:rsidR="00CD6A25" w:rsidRDefault="00CD6A25">
      <w:pPr>
        <w:keepNext/>
        <w:widowControl w:val="0"/>
        <w:spacing w:after="0" w:line="240" w:lineRule="auto"/>
        <w:jc w:val="center"/>
        <w:rPr>
          <w:rFonts w:cs="Arial"/>
        </w:rPr>
      </w:pPr>
    </w:p>
    <w:p w:rsidR="00CD6A25" w:rsidRDefault="00000000">
      <w:pPr>
        <w:pStyle w:val="Heading2"/>
        <w:pageBreakBefore/>
        <w:widowControl w:val="0"/>
        <w:rPr>
          <w:rFonts w:ascii="Calibri" w:hAnsi="Calibri"/>
          <w:i w:val="0"/>
        </w:rPr>
      </w:pPr>
      <w:r>
        <w:rPr>
          <w:rFonts w:ascii="Calibri" w:hAnsi="Calibri"/>
          <w:i w:val="0"/>
        </w:rPr>
        <w:lastRenderedPageBreak/>
        <w:t>AP-75 Barriers to affordable housing – 91.220(j)</w:t>
      </w:r>
    </w:p>
    <w:p w:rsidR="00CD6A25" w:rsidRDefault="00000000">
      <w:pPr>
        <w:keepNext/>
        <w:widowControl w:val="0"/>
        <w:spacing w:line="204" w:lineRule="auto"/>
        <w:rPr>
          <w:b/>
          <w:sz w:val="24"/>
          <w:szCs w:val="24"/>
        </w:rPr>
      </w:pPr>
      <w:r>
        <w:rPr>
          <w:b/>
          <w:sz w:val="24"/>
          <w:szCs w:val="24"/>
        </w:rPr>
        <w:t xml:space="preserve">Introduction: </w:t>
      </w:r>
    </w:p>
    <w:p w:rsidR="00CD6A25" w:rsidRDefault="00000000">
      <w:pPr>
        <w:keepNext/>
        <w:widowControl w:val="0"/>
        <w:spacing w:beforeAutospacing="1" w:afterAutospacing="1"/>
        <w:rPr>
          <w:b/>
          <w:sz w:val="24"/>
          <w:szCs w:val="24"/>
        </w:rPr>
      </w:pPr>
      <w:r>
        <w:rPr>
          <w:rFonts w:cs="Arial"/>
        </w:rPr>
        <w:t>As part of the Consolidated Plan process, an Assessment of Fair Housing was conducted for Albuquerque. The Assessment for Fair Housing (AFH) is a review of barriers that prevent people from choosing their preferred housing, including an assessment of the availability of affordable, accessible housing. The primary barriers to affordable housing identified in the AFH and MA-40 of the 2023 – 2027 Consolidated Plan are summarized below.</w:t>
      </w:r>
    </w:p>
    <w:p w:rsidR="00CD6A25" w:rsidRDefault="00000000">
      <w:pPr>
        <w:keepNext/>
        <w:widowControl w:val="0"/>
        <w:spacing w:beforeAutospacing="1" w:afterAutospacing="1"/>
        <w:rPr>
          <w:b/>
          <w:sz w:val="24"/>
          <w:szCs w:val="24"/>
        </w:rPr>
      </w:pPr>
      <w:r>
        <w:rPr>
          <w:rFonts w:cs="Arial"/>
          <w:b/>
          <w:u w:val="single"/>
        </w:rPr>
        <w:t>Housing Costs and Cost Burden.</w:t>
      </w:r>
      <w:r>
        <w:rPr>
          <w:rFonts w:cs="Arial"/>
        </w:rPr>
        <w:t> One in four renter households in Albuquerque have incomes at 30% of the AMI or less. The highest number of cost-burdened households are renters and owners with incomes at 0–30% AMI. The number of severely cost burden renters is approximately 2.7 times higher than owners. The shortage of housing units in Albuquerque has led to a sharp increase in market rent over the past few years, which has led to an increase of cost-burden households and potentially resulting in housing instability and homelessness.</w:t>
      </w:r>
    </w:p>
    <w:p w:rsidR="00CD6A25" w:rsidRDefault="00000000">
      <w:pPr>
        <w:keepNext/>
        <w:widowControl w:val="0"/>
        <w:spacing w:beforeAutospacing="1" w:afterAutospacing="1"/>
        <w:rPr>
          <w:b/>
          <w:sz w:val="24"/>
          <w:szCs w:val="24"/>
        </w:rPr>
      </w:pPr>
      <w:r>
        <w:rPr>
          <w:rFonts w:cs="Arial"/>
          <w:b/>
          <w:u w:val="single"/>
        </w:rPr>
        <w:t>Development Costs.</w:t>
      </w:r>
      <w:r>
        <w:rPr>
          <w:rFonts w:cs="Arial"/>
        </w:rPr>
        <w:t> The cost of developing affordable housing, inclusive of land, material, and labor costs, has outpaced inflation in recent years. Development fees, often referred to as impact fees, also contribute to the increased cost of development and are gaining more attention as a barrier to construction.</w:t>
      </w:r>
    </w:p>
    <w:p w:rsidR="00CD6A25" w:rsidRDefault="00000000">
      <w:pPr>
        <w:keepNext/>
        <w:widowControl w:val="0"/>
        <w:spacing w:beforeAutospacing="1" w:afterAutospacing="1"/>
        <w:rPr>
          <w:b/>
          <w:sz w:val="24"/>
          <w:szCs w:val="24"/>
        </w:rPr>
      </w:pPr>
      <w:r>
        <w:rPr>
          <w:rFonts w:cs="Arial"/>
          <w:b/>
          <w:u w:val="single"/>
        </w:rPr>
        <w:t>Zoning.</w:t>
      </w:r>
      <w:r>
        <w:rPr>
          <w:rFonts w:cs="Arial"/>
        </w:rPr>
        <w:t xml:space="preserve"> The </w:t>
      </w:r>
      <w:proofErr w:type="gramStart"/>
      <w:r>
        <w:rPr>
          <w:rFonts w:cs="Arial"/>
        </w:rPr>
        <w:t>City</w:t>
      </w:r>
      <w:proofErr w:type="gramEnd"/>
      <w:r>
        <w:rPr>
          <w:rFonts w:cs="Arial"/>
        </w:rPr>
        <w:t xml:space="preserve"> as part of the Albuquerque Housing Forward initiative has committed to reviewing and changing zoning codes to allow more density and housing type options. Approximately 63% of the current housing in Albuquerque is single family detached houses. The </w:t>
      </w:r>
      <w:proofErr w:type="gramStart"/>
      <w:r>
        <w:rPr>
          <w:rFonts w:cs="Arial"/>
        </w:rPr>
        <w:t>City</w:t>
      </w:r>
      <w:proofErr w:type="gramEnd"/>
      <w:r>
        <w:rPr>
          <w:rFonts w:cs="Arial"/>
        </w:rPr>
        <w:t xml:space="preserve"> is proposing modifications to the IDO to allow more construction and conversion projects in appropriately zoned areas for small living areas, such as casitas, and also increasing the development of multifamily units. Increasing residential density, or rather allowing apartment buildings, in more areas can increase housing affordability by increasing the supply of smaller and thus less expensive homes.</w:t>
      </w:r>
    </w:p>
    <w:p w:rsidR="00CD6A25" w:rsidRDefault="00000000">
      <w:pPr>
        <w:keepNext/>
        <w:widowControl w:val="0"/>
        <w:spacing w:beforeAutospacing="1" w:afterAutospacing="1"/>
        <w:rPr>
          <w:b/>
          <w:sz w:val="24"/>
          <w:szCs w:val="24"/>
        </w:rPr>
      </w:pPr>
      <w:r>
        <w:rPr>
          <w:rFonts w:cs="Arial"/>
          <w:b/>
          <w:u w:val="single"/>
        </w:rPr>
        <w:t>Education and Outreach.</w:t>
      </w:r>
      <w:r>
        <w:rPr>
          <w:rFonts w:cs="Arial"/>
        </w:rPr>
        <w:t xml:space="preserve"> Educational opportunities regarding fair housing and affordable housing available to the public is currently available by request from the </w:t>
      </w:r>
      <w:proofErr w:type="gramStart"/>
      <w:r>
        <w:rPr>
          <w:rFonts w:cs="Arial"/>
        </w:rPr>
        <w:t>City</w:t>
      </w:r>
      <w:proofErr w:type="gramEnd"/>
      <w:r>
        <w:rPr>
          <w:rFonts w:cs="Arial"/>
        </w:rPr>
        <w:t xml:space="preserve">. While the community survey revealed that many residents were familiar about Fair Housing laws, there is likely a large population of residents who don’t understand their rights. Thus, fair housing and affordable housing education has been identified as an effective strategy for furthering fair housing and mitigating “Not in my backyard (NIMBYism).” Outreach methods should be expanded beyond the </w:t>
      </w:r>
      <w:proofErr w:type="gramStart"/>
      <w:r>
        <w:rPr>
          <w:rFonts w:cs="Arial"/>
        </w:rPr>
        <w:t>City</w:t>
      </w:r>
      <w:proofErr w:type="gramEnd"/>
      <w:r>
        <w:rPr>
          <w:rFonts w:cs="Arial"/>
        </w:rPr>
        <w:t xml:space="preserve"> website, traditional newspaper, and other publications. Instead, it should utilize diverse neighborhood groups and organizations.</w:t>
      </w:r>
    </w:p>
    <w:p w:rsidR="00CD6A25" w:rsidRDefault="00000000">
      <w:pPr>
        <w:keepNext/>
        <w:widowControl w:val="0"/>
        <w:spacing w:beforeAutospacing="1" w:afterAutospacing="1"/>
        <w:rPr>
          <w:b/>
          <w:sz w:val="24"/>
          <w:szCs w:val="24"/>
        </w:rPr>
      </w:pPr>
      <w:r>
        <w:rPr>
          <w:rFonts w:cs="Arial"/>
          <w:b/>
          <w:u w:val="single"/>
        </w:rPr>
        <w:t>Housing Options for At-Risk Populations.</w:t>
      </w:r>
      <w:r>
        <w:rPr>
          <w:rFonts w:cs="Arial"/>
        </w:rPr>
        <w:t xml:space="preserve"> Housing that is accessible for at-risk groups, such as seniors or persons with seen or unseen disabilities, is limited in Albuquerque. Universal design principles in new development and retrofit programs for existing housing would allow for more accessible housing </w:t>
      </w:r>
      <w:r>
        <w:rPr>
          <w:rFonts w:cs="Arial"/>
        </w:rPr>
        <w:lastRenderedPageBreak/>
        <w:t xml:space="preserve">options, which the </w:t>
      </w:r>
      <w:proofErr w:type="gramStart"/>
      <w:r>
        <w:rPr>
          <w:rFonts w:cs="Arial"/>
        </w:rPr>
        <w:t>City</w:t>
      </w:r>
      <w:proofErr w:type="gramEnd"/>
      <w:r>
        <w:rPr>
          <w:rFonts w:cs="Arial"/>
        </w:rPr>
        <w:t xml:space="preserve"> includes and prioritizes in its application for affordable housing developments.</w:t>
      </w:r>
    </w:p>
    <w:p w:rsidR="00CD6A25" w:rsidRDefault="00000000">
      <w:pPr>
        <w:keepNext/>
        <w:widowControl w:val="0"/>
        <w:spacing w:beforeAutospacing="1" w:afterAutospacing="1"/>
        <w:rPr>
          <w:b/>
          <w:sz w:val="24"/>
          <w:szCs w:val="24"/>
        </w:rPr>
      </w:pPr>
      <w:r>
        <w:rPr>
          <w:rFonts w:cs="Arial"/>
          <w:b/>
          <w:u w:val="single"/>
        </w:rPr>
        <w:t>Code Enforcement.</w:t>
      </w:r>
      <w:r>
        <w:rPr>
          <w:rFonts w:cs="Arial"/>
        </w:rPr>
        <w:t xml:space="preserve"> Enforcement is a key driver for expanding access to safe and sanitary affordable housing, but enforcement activities are limited and disjointed between multiple community partners and the </w:t>
      </w:r>
      <w:proofErr w:type="gramStart"/>
      <w:r>
        <w:rPr>
          <w:rFonts w:cs="Arial"/>
        </w:rPr>
        <w:t>City</w:t>
      </w:r>
      <w:proofErr w:type="gramEnd"/>
      <w:r>
        <w:rPr>
          <w:rFonts w:cs="Arial"/>
        </w:rPr>
        <w:t xml:space="preserve"> that provide affordable housing.</w:t>
      </w:r>
    </w:p>
    <w:p w:rsidR="00CD6A25" w:rsidRDefault="00000000">
      <w:pPr>
        <w:keepNext/>
        <w:widowControl w:val="0"/>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rsidR="00CD6A25" w:rsidRDefault="00000000">
      <w:pPr>
        <w:keepNext/>
        <w:widowControl w:val="0"/>
        <w:spacing w:beforeAutospacing="1" w:afterAutospacing="1"/>
        <w:rPr>
          <w:rFonts w:cs="Arial"/>
        </w:rPr>
      </w:pPr>
      <w:r>
        <w:rPr>
          <w:rFonts w:cs="Arial"/>
        </w:rPr>
        <w:t>The City of Albuquerque has identified five Fair Housing Goals to address over the next five years.</w:t>
      </w:r>
    </w:p>
    <w:p w:rsidR="00CD6A25" w:rsidRDefault="00000000">
      <w:pPr>
        <w:numPr>
          <w:ilvl w:val="0"/>
          <w:numId w:val="20"/>
        </w:numPr>
        <w:spacing w:beforeAutospacing="1" w:afterAutospacing="1"/>
      </w:pPr>
      <w:r>
        <w:rPr>
          <w:rFonts w:cs="Arial"/>
        </w:rPr>
        <w:t>Increase the number of affordable rental housing units and preserve existing units</w:t>
      </w:r>
    </w:p>
    <w:p w:rsidR="00CD6A25" w:rsidRDefault="00000000">
      <w:pPr>
        <w:numPr>
          <w:ilvl w:val="0"/>
          <w:numId w:val="20"/>
        </w:numPr>
        <w:spacing w:beforeAutospacing="1" w:afterAutospacing="1"/>
      </w:pPr>
      <w:r>
        <w:rPr>
          <w:rFonts w:cs="Arial"/>
        </w:rPr>
        <w:t>Expand affordable homeownership opportunities</w:t>
      </w:r>
    </w:p>
    <w:p w:rsidR="00CD6A25" w:rsidRDefault="00000000">
      <w:pPr>
        <w:numPr>
          <w:ilvl w:val="0"/>
          <w:numId w:val="20"/>
        </w:numPr>
        <w:spacing w:beforeAutospacing="1" w:afterAutospacing="1"/>
      </w:pPr>
      <w:r>
        <w:rPr>
          <w:rFonts w:cs="Arial"/>
        </w:rPr>
        <w:t>Expand housing opportunities for at-risk populations (persons with disabilities, victims of domestic violence, seniors, homeless, extremely low-income households)</w:t>
      </w:r>
    </w:p>
    <w:p w:rsidR="00CD6A25" w:rsidRDefault="00000000">
      <w:pPr>
        <w:numPr>
          <w:ilvl w:val="0"/>
          <w:numId w:val="20"/>
        </w:numPr>
        <w:spacing w:beforeAutospacing="1" w:afterAutospacing="1"/>
      </w:pPr>
      <w:r>
        <w:rPr>
          <w:rFonts w:cs="Arial"/>
        </w:rPr>
        <w:t>Increase community education about affordable housing</w:t>
      </w:r>
    </w:p>
    <w:p w:rsidR="00CD6A25" w:rsidRDefault="00000000">
      <w:pPr>
        <w:numPr>
          <w:ilvl w:val="0"/>
          <w:numId w:val="20"/>
        </w:numPr>
        <w:spacing w:beforeAutospacing="1" w:afterAutospacing="1"/>
      </w:pPr>
      <w:r>
        <w:rPr>
          <w:rFonts w:cs="Arial"/>
        </w:rPr>
        <w:t>Increase understanding of housing discrimination and Fair Housing.</w:t>
      </w:r>
    </w:p>
    <w:p w:rsidR="00CD6A25" w:rsidRDefault="00000000">
      <w:pPr>
        <w:keepNext/>
        <w:widowControl w:val="0"/>
        <w:spacing w:line="204" w:lineRule="auto"/>
        <w:rPr>
          <w:b/>
          <w:sz w:val="24"/>
          <w:szCs w:val="24"/>
        </w:rPr>
      </w:pPr>
      <w:r>
        <w:rPr>
          <w:b/>
          <w:sz w:val="24"/>
          <w:szCs w:val="24"/>
        </w:rPr>
        <w:t xml:space="preserve">Discussion: </w:t>
      </w:r>
    </w:p>
    <w:p w:rsidR="00CD6A25" w:rsidRDefault="00000000">
      <w:pPr>
        <w:keepNext/>
        <w:widowControl w:val="0"/>
        <w:spacing w:beforeAutospacing="1" w:afterAutospacing="1"/>
        <w:rPr>
          <w:b/>
          <w:sz w:val="24"/>
          <w:szCs w:val="24"/>
        </w:rPr>
      </w:pPr>
      <w:r>
        <w:rPr>
          <w:rFonts w:cs="Arial"/>
        </w:rPr>
        <w:t xml:space="preserve">As part of the 2023-2027 Consolidated Plan, the </w:t>
      </w:r>
      <w:proofErr w:type="gramStart"/>
      <w:r>
        <w:rPr>
          <w:rFonts w:cs="Arial"/>
        </w:rPr>
        <w:t>City</w:t>
      </w:r>
      <w:proofErr w:type="gramEnd"/>
      <w:r>
        <w:rPr>
          <w:rFonts w:cs="Arial"/>
        </w:rPr>
        <w:t xml:space="preserve"> will continue to implement the goals and supported strategies identified in the 2023 Assessment of Fair Housing. These goals and strategies will be carried out as a means to continue affirmatively furthering fair housing in Albuquerque. Through the investment of CDBG and HOME funds through the implementation of projects that focus on the identified Fair Housing Goals and goals of the Consolidated Plan the City will continue to take steps toward addressing barriers to affordable housing. Due to the identified the need for affordable housing across the city, through the Mayor’s Housing Forward Initiative, the </w:t>
      </w:r>
      <w:proofErr w:type="gramStart"/>
      <w:r>
        <w:rPr>
          <w:rFonts w:cs="Arial"/>
        </w:rPr>
        <w:t>City</w:t>
      </w:r>
      <w:proofErr w:type="gramEnd"/>
      <w:r>
        <w:rPr>
          <w:rFonts w:cs="Arial"/>
        </w:rPr>
        <w:t xml:space="preserve"> intends to carry on with efforts to provide affordable housing for residents. In addition to continued efforts in providing affordable housing, during the 2025 Program Year the City will utilize General Fund dollars to fund a Landlord/Tenant Helpline and Fair Housing Training and Education activities.  </w:t>
      </w:r>
    </w:p>
    <w:p w:rsidR="00CD6A25" w:rsidRDefault="00000000">
      <w:pPr>
        <w:pStyle w:val="Heading2"/>
        <w:pageBreakBefore/>
        <w:widowControl w:val="0"/>
        <w:rPr>
          <w:rFonts w:ascii="Calibri" w:hAnsi="Calibri"/>
          <w:i w:val="0"/>
        </w:rPr>
      </w:pPr>
      <w:r>
        <w:rPr>
          <w:rFonts w:ascii="Calibri" w:hAnsi="Calibri"/>
          <w:i w:val="0"/>
        </w:rPr>
        <w:lastRenderedPageBreak/>
        <w:t>AP-85 Other Actions – 91.220(k)</w:t>
      </w:r>
    </w:p>
    <w:p w:rsidR="00CD6A25" w:rsidRDefault="00000000">
      <w:pPr>
        <w:keepNext/>
        <w:widowControl w:val="0"/>
        <w:spacing w:line="204" w:lineRule="auto"/>
        <w:rPr>
          <w:b/>
          <w:sz w:val="24"/>
          <w:szCs w:val="24"/>
        </w:rPr>
      </w:pPr>
      <w:r>
        <w:rPr>
          <w:b/>
          <w:sz w:val="24"/>
          <w:szCs w:val="24"/>
        </w:rPr>
        <w:t xml:space="preserve">Introduction: </w:t>
      </w:r>
    </w:p>
    <w:p w:rsidR="00CD6A25" w:rsidRDefault="00000000">
      <w:pPr>
        <w:keepNext/>
        <w:widowControl w:val="0"/>
        <w:spacing w:beforeAutospacing="1" w:afterAutospacing="1"/>
        <w:rPr>
          <w:b/>
          <w:sz w:val="24"/>
          <w:szCs w:val="24"/>
        </w:rPr>
      </w:pPr>
      <w:r>
        <w:rPr>
          <w:rFonts w:cs="Arial"/>
        </w:rPr>
        <w:t>When developing the Consolidated Plan, 14 focus group discussions were held with community residents and service providers, including agencies, groups, and organizations involved in the development of affordable housing, the job training opportunities for low- and moderate-income residents, and/or the provision of services to high priority populations. Participants involved in affordable housing development emphasized the need to relate and involve community-based services with housing in order to produce best outcomes for long-term housing security and stability. Additionally, a public hearing was held regarding the community needs for the Consolidated Plan and the Affordable Housing Plan.</w:t>
      </w:r>
    </w:p>
    <w:p w:rsidR="00CD6A25" w:rsidRDefault="00000000">
      <w:pPr>
        <w:keepNext/>
        <w:widowControl w:val="0"/>
        <w:spacing w:beforeAutospacing="1" w:afterAutospacing="1"/>
        <w:rPr>
          <w:b/>
          <w:sz w:val="24"/>
          <w:szCs w:val="24"/>
        </w:rPr>
      </w:pPr>
      <w:r>
        <w:rPr>
          <w:rFonts w:cs="Arial"/>
        </w:rPr>
        <w:t>Focus group participants advocated for the use of the CDBG grant monies to fund necessary public facility and infrastructure improvements and public services. These include off-parcel improvements, such as ADA compliant sidewalks and utility connections, as a means of lowering development costs. The utility connections should include broadband infrastructure improvements to improve access to online connectivity, increase internet capacity, and deliver faster internet speed to residents. Additionally, participants expressed the need for senior services, childcare, low-cost health and dental services for low- to moderate-income households.</w:t>
      </w:r>
    </w:p>
    <w:p w:rsidR="00CD6A25" w:rsidRDefault="00000000">
      <w:pPr>
        <w:keepNext/>
        <w:widowControl w:val="0"/>
        <w:spacing w:beforeAutospacing="1" w:afterAutospacing="1"/>
        <w:rPr>
          <w:b/>
          <w:sz w:val="24"/>
          <w:szCs w:val="24"/>
        </w:rPr>
      </w:pPr>
      <w:r>
        <w:rPr>
          <w:rFonts w:cs="Arial"/>
        </w:rPr>
        <w:t>At-risk populations identified through the Consolidated Plan process include persons with seen and unseen disabilities, mental health conditions, substance use disorders, seniors, victims of domestic violence, at-risk youth, and people experiencing homelessness. Special needs communities often encounter financial barriers and access/availability of appropriate housing and services.</w:t>
      </w:r>
    </w:p>
    <w:p w:rsidR="00CD6A25" w:rsidRDefault="00000000">
      <w:pPr>
        <w:keepNext/>
        <w:widowControl w:val="0"/>
        <w:rPr>
          <w:b/>
          <w:sz w:val="24"/>
          <w:szCs w:val="24"/>
        </w:rPr>
      </w:pPr>
      <w:r>
        <w:rPr>
          <w:b/>
          <w:sz w:val="24"/>
          <w:szCs w:val="24"/>
        </w:rPr>
        <w:t>Actions planned to address obstacles to meeting underserved needs</w:t>
      </w:r>
    </w:p>
    <w:p w:rsidR="00CD6A25" w:rsidRDefault="00000000">
      <w:pPr>
        <w:keepNext/>
        <w:widowControl w:val="0"/>
        <w:spacing w:beforeAutospacing="1" w:afterAutospacing="1"/>
        <w:rPr>
          <w:rFonts w:cs="Arial"/>
        </w:rPr>
      </w:pPr>
      <w:r>
        <w:rPr>
          <w:rFonts w:cs="Arial"/>
        </w:rPr>
        <w:t>In an attempt to address obstacles to meeting underserved needs, the City will allocate CDBG funds to partners that provide needed services to the underserved populations, such as the elderly, persons experiencing homelessness and low- to moderate -income persons. These funds will also be used to address public facility and infrastructure needs in lower-income neighborhoods and affordable housing developments. The City will continue to identify potential projects for community improvements and affordable housing developments in attempts to continue meeting underserved needs, keeping in mind that projects funded must meet at least one of the strategic goals set forth in the 2023-2027 Consolidated Plan.</w:t>
      </w:r>
    </w:p>
    <w:p w:rsidR="00CD6A25" w:rsidRDefault="00000000">
      <w:pPr>
        <w:keepNext/>
        <w:widowControl w:val="0"/>
        <w:rPr>
          <w:b/>
          <w:sz w:val="24"/>
          <w:szCs w:val="24"/>
        </w:rPr>
      </w:pPr>
      <w:r>
        <w:rPr>
          <w:b/>
          <w:sz w:val="24"/>
          <w:szCs w:val="24"/>
        </w:rPr>
        <w:t>Actions planned to foster and maintain affordable housing</w:t>
      </w:r>
    </w:p>
    <w:p w:rsidR="00CD6A25" w:rsidRDefault="00000000">
      <w:pPr>
        <w:keepNext/>
        <w:widowControl w:val="0"/>
        <w:spacing w:beforeAutospacing="1" w:afterAutospacing="1"/>
        <w:rPr>
          <w:rFonts w:cs="Arial"/>
        </w:rPr>
      </w:pPr>
      <w:r>
        <w:rPr>
          <w:rFonts w:cs="Arial"/>
        </w:rPr>
        <w:t xml:space="preserve">In an effort to foster and maintain affordable housing, the City will fund affordable housing development, affordable housing preservation and homeownership programs. The City will put out an RFP to allocate HOME funds for the development of affordable housing during the 2025 Program Year. </w:t>
      </w:r>
      <w:r>
        <w:rPr>
          <w:rFonts w:cs="Arial"/>
        </w:rPr>
        <w:lastRenderedPageBreak/>
        <w:t>Homeownership assistance will be carried out through mortgage reduction assistance programs. These programs will assist homebuyers in making purchasing a home affordable. During the Program Year, the CDBG funds will be utilized towards efforts to preserve existing affordable housing throughout the city.  This will be done through updating and/or upgrading the existing greywater system at an affordable housing development, as well as updating security features at an affordable housing development. These updates may include, but not be limited to, installing convex mirrors, removing and replacing incorrectly installed sliding glass doors, installing additional locks on windows, installing security doors to each unit and securing attic access in units, as necessary. In addition to the efforts discussed above, the City has implemented a Homeowner Rehabilitation Program utilizing ARPA funds. Approximately 56 low- to moderate-income homeowners will be assisted through the Program. Currently, an ad-hoc committee is reviewing an RFP in the amount $3,300,000.00 for a Homeowner Rehabilitation Program in the pocket of poverty. This program will assist approximately 50 low- to moderate-income homeowners with much needed rehabilitation to their homes. These efforts will ensure that that low to moderate income homeowners stay in their homes and that the aging affordable housing stock is updated to extend its useful life. </w:t>
      </w:r>
    </w:p>
    <w:p w:rsidR="00CD6A25" w:rsidRDefault="00000000">
      <w:pPr>
        <w:keepNext/>
        <w:widowControl w:val="0"/>
        <w:spacing w:beforeAutospacing="1" w:afterAutospacing="1"/>
        <w:rPr>
          <w:rFonts w:cs="Arial"/>
        </w:rPr>
      </w:pPr>
      <w:r>
        <w:rPr>
          <w:rFonts w:cs="Arial"/>
        </w:rPr>
        <w:t xml:space="preserve">In regard to addressing rehabilitation needs of aging housing stock, developers report many challenges, including a regulatory requirement that units be brought entirely up to code when utilizing HOME funds. Frequently, many repair issues are not apparent until rehab activities are well underway, and can cause costs to soar over $100,000.00 per unit. Despite the many challenges and increased costs, the </w:t>
      </w:r>
      <w:proofErr w:type="gramStart"/>
      <w:r>
        <w:rPr>
          <w:rFonts w:cs="Arial"/>
        </w:rPr>
        <w:t>City</w:t>
      </w:r>
      <w:proofErr w:type="gramEnd"/>
      <w:r>
        <w:rPr>
          <w:rFonts w:cs="Arial"/>
        </w:rPr>
        <w:t xml:space="preserve"> recognizes the need for continued funding of rehabilitation projects, as well as the importance of preservation of affordable housing, so that people can remain in their homes. </w:t>
      </w:r>
    </w:p>
    <w:p w:rsidR="00CD6A25" w:rsidRDefault="00000000">
      <w:pPr>
        <w:keepNext/>
        <w:widowControl w:val="0"/>
        <w:spacing w:beforeAutospacing="1" w:afterAutospacing="1"/>
        <w:rPr>
          <w:rFonts w:cs="Arial"/>
        </w:rPr>
      </w:pPr>
      <w:r>
        <w:rPr>
          <w:rFonts w:cs="Arial"/>
        </w:rPr>
        <w:t>The City’s presence and ongoing involvement on the Affordable Housing Committee is another way its efforts to foster and maintain affordable housing can be seen. The Affordable Housing Committee continues to meet regularly and serves as an advocacy group for affordable housing. The Workforce Housing Trust Fund (WHTF) is presented to the City's voters every two years for renewal. To ensure the electorate is educated as to the importance of affordable housing to the City's quality of life, the Affordable Housing Committee advocates on behalf of ongoing support for the Fund.</w:t>
      </w:r>
    </w:p>
    <w:p w:rsidR="00CD6A25" w:rsidRDefault="00000000">
      <w:pPr>
        <w:keepNext/>
        <w:widowControl w:val="0"/>
        <w:rPr>
          <w:b/>
          <w:sz w:val="24"/>
          <w:szCs w:val="24"/>
        </w:rPr>
      </w:pPr>
      <w:r>
        <w:rPr>
          <w:b/>
          <w:sz w:val="24"/>
          <w:szCs w:val="24"/>
        </w:rPr>
        <w:t>Actions planned to reduce lead-based paint hazards</w:t>
      </w:r>
    </w:p>
    <w:p w:rsidR="00CD6A25" w:rsidRDefault="00000000">
      <w:pPr>
        <w:keepNext/>
        <w:widowControl w:val="0"/>
        <w:spacing w:beforeAutospacing="1" w:afterAutospacing="1"/>
        <w:rPr>
          <w:rFonts w:cs="Arial"/>
        </w:rPr>
      </w:pPr>
      <w:r>
        <w:rPr>
          <w:rFonts w:cs="Arial"/>
        </w:rPr>
        <w:t>To reduce lead-based paint hazards, the City of Albuquerque takes the following actions:</w:t>
      </w:r>
    </w:p>
    <w:p w:rsidR="00CD6A25" w:rsidRDefault="00000000">
      <w:pPr>
        <w:keepNext/>
        <w:widowControl w:val="0"/>
        <w:numPr>
          <w:ilvl w:val="0"/>
          <w:numId w:val="3"/>
        </w:numPr>
        <w:spacing w:beforeAutospacing="1" w:afterAutospacing="1"/>
        <w:rPr>
          <w:rFonts w:cs="Arial"/>
        </w:rPr>
      </w:pPr>
      <w:r>
        <w:rPr>
          <w:rFonts w:cs="Arial"/>
        </w:rPr>
        <w:t>Include lead testing and abatement procedures, if necessary, for residential rehabilitation activities for units built prior to January 1, 1978.</w:t>
      </w:r>
    </w:p>
    <w:p w:rsidR="00CD6A25" w:rsidRDefault="00000000">
      <w:pPr>
        <w:keepNext/>
        <w:widowControl w:val="0"/>
        <w:numPr>
          <w:ilvl w:val="0"/>
          <w:numId w:val="3"/>
        </w:numPr>
        <w:spacing w:beforeAutospacing="1" w:afterAutospacing="1"/>
        <w:rPr>
          <w:rFonts w:cs="Arial"/>
        </w:rPr>
      </w:pPr>
      <w:r>
        <w:rPr>
          <w:rFonts w:cs="Arial"/>
        </w:rPr>
        <w:t>Educate residents on the health hazards of lead-based paint through the use of brochures as well as encouraging the use of online resources moving forward.</w:t>
      </w:r>
    </w:p>
    <w:p w:rsidR="00CD6A25" w:rsidRDefault="00000000">
      <w:pPr>
        <w:keepNext/>
        <w:widowControl w:val="0"/>
        <w:numPr>
          <w:ilvl w:val="0"/>
          <w:numId w:val="3"/>
        </w:numPr>
        <w:spacing w:beforeAutospacing="1" w:afterAutospacing="1"/>
        <w:rPr>
          <w:rFonts w:cs="Arial"/>
        </w:rPr>
      </w:pPr>
      <w:r>
        <w:rPr>
          <w:rFonts w:cs="Arial"/>
        </w:rPr>
        <w:t>Encourage screening children for elevated blood-lead levels.</w:t>
      </w:r>
    </w:p>
    <w:p w:rsidR="00CD6A25" w:rsidRDefault="00000000">
      <w:pPr>
        <w:keepNext/>
        <w:widowControl w:val="0"/>
        <w:numPr>
          <w:ilvl w:val="0"/>
          <w:numId w:val="3"/>
        </w:numPr>
        <w:spacing w:beforeAutospacing="1" w:afterAutospacing="1"/>
        <w:rPr>
          <w:rFonts w:cs="Arial"/>
        </w:rPr>
      </w:pPr>
      <w:r>
        <w:rPr>
          <w:rFonts w:cs="Arial"/>
        </w:rPr>
        <w:t xml:space="preserve">Disseminate brochures about lead hazards through the City’s residential rehabilitation </w:t>
      </w:r>
      <w:r>
        <w:rPr>
          <w:rFonts w:cs="Arial"/>
        </w:rPr>
        <w:lastRenderedPageBreak/>
        <w:t>programs.</w:t>
      </w:r>
    </w:p>
    <w:p w:rsidR="00CD6A25" w:rsidRDefault="00000000">
      <w:pPr>
        <w:keepNext/>
        <w:widowControl w:val="0"/>
        <w:spacing w:beforeAutospacing="1" w:afterAutospacing="1"/>
        <w:rPr>
          <w:rFonts w:cs="Arial"/>
        </w:rPr>
      </w:pPr>
      <w:r>
        <w:rPr>
          <w:rFonts w:cs="Arial"/>
        </w:rPr>
        <w:t>HUD requires the dissemination of brochures provided by the U.S. Environmental Protection Agency to all applicants as part of the transmittal of the program application. Units receiving CDBG or HOME assistance that were built prior to January 1, 1978 are addressed in accordance with the Lead-Safe Housing Rule. If testing is required and lead-based paint is present, appropriate abatement procedures are implemented as part of the rehabilitation contract consistent with the requirements of 24 CFR Part 35.</w:t>
      </w:r>
    </w:p>
    <w:p w:rsidR="00CD6A25" w:rsidRDefault="00000000">
      <w:pPr>
        <w:keepNext/>
        <w:widowControl w:val="0"/>
        <w:rPr>
          <w:b/>
          <w:sz w:val="24"/>
          <w:szCs w:val="24"/>
        </w:rPr>
      </w:pPr>
      <w:r>
        <w:rPr>
          <w:b/>
          <w:sz w:val="24"/>
          <w:szCs w:val="24"/>
        </w:rPr>
        <w:t>Actions planned to reduce the number of poverty-level families</w:t>
      </w:r>
    </w:p>
    <w:p w:rsidR="00CD6A25" w:rsidRDefault="00000000">
      <w:pPr>
        <w:keepNext/>
        <w:widowControl w:val="0"/>
        <w:spacing w:beforeAutospacing="1" w:afterAutospacing="1"/>
        <w:rPr>
          <w:rFonts w:cs="Arial"/>
          <w:szCs w:val="26"/>
        </w:rPr>
      </w:pPr>
      <w:r>
        <w:rPr>
          <w:rFonts w:cs="Arial"/>
        </w:rPr>
        <w:t xml:space="preserve">In an effort to meaningfully address the challenge of the high number of families living in poverty, the goals of the 2023-2027 Consolidated Plan are aligned to support activities that promote the availability of affordable housing and that provide essential services directly benefitting low- and moderate-income individuals. The </w:t>
      </w:r>
      <w:proofErr w:type="gramStart"/>
      <w:r>
        <w:rPr>
          <w:rFonts w:cs="Arial"/>
        </w:rPr>
        <w:t>City</w:t>
      </w:r>
      <w:proofErr w:type="gramEnd"/>
      <w:r>
        <w:rPr>
          <w:rFonts w:cs="Arial"/>
        </w:rPr>
        <w:t xml:space="preserve"> will, therefore, prioritize funding for activities that will most effectively address those goals. This strategy will use CDBG, HOME, and ESG funds to help individuals and families begin to rise out of poverty through programs that implement accessibility to affordable, safe and stable housing, in order to reach long-term self-sufficiency.</w:t>
      </w:r>
    </w:p>
    <w:p w:rsidR="00CD6A25" w:rsidRDefault="00000000">
      <w:pPr>
        <w:keepNext/>
        <w:widowControl w:val="0"/>
        <w:spacing w:beforeAutospacing="1" w:afterAutospacing="1"/>
        <w:rPr>
          <w:rFonts w:cs="Arial"/>
          <w:szCs w:val="26"/>
        </w:rPr>
      </w:pPr>
      <w:r>
        <w:rPr>
          <w:rFonts w:cs="Arial"/>
        </w:rPr>
        <w:t>The 2025 Action Plan will address the most pressing need among low and moderate-income Albuquerque residents, specifically, housing instability. All other investments, including those directed toward public service programs, and infrastructure improvements are intended to promote self-sufficiency and mobility that can only be the result of a safe, affordable, stable, and accessible living environment.</w:t>
      </w:r>
    </w:p>
    <w:p w:rsidR="00CD6A25" w:rsidRDefault="00000000">
      <w:pPr>
        <w:keepNext/>
        <w:widowControl w:val="0"/>
        <w:rPr>
          <w:b/>
          <w:sz w:val="24"/>
          <w:szCs w:val="24"/>
        </w:rPr>
      </w:pPr>
      <w:r>
        <w:rPr>
          <w:b/>
          <w:sz w:val="24"/>
          <w:szCs w:val="24"/>
        </w:rPr>
        <w:t xml:space="preserve">Actions planned to develop institutional structure </w:t>
      </w:r>
    </w:p>
    <w:p w:rsidR="00CD6A25" w:rsidRDefault="00000000">
      <w:pPr>
        <w:keepNext/>
        <w:widowControl w:val="0"/>
        <w:spacing w:beforeAutospacing="1" w:afterAutospacing="1"/>
        <w:rPr>
          <w:rFonts w:cs="Arial"/>
        </w:rPr>
      </w:pPr>
      <w:r>
        <w:rPr>
          <w:rFonts w:cs="Arial"/>
        </w:rPr>
        <w:t xml:space="preserve">The institutional structure identified in the current Consolidated Plan includes a formal and informal network of various agencies of local government, non-profit organizations, and private entities involved in carrying out a range of housing and supportive services programs. The City of Albuquerque continues to play a significant role in citywide housing and homeless issues. The </w:t>
      </w:r>
      <w:proofErr w:type="gramStart"/>
      <w:r>
        <w:rPr>
          <w:rFonts w:cs="Arial"/>
        </w:rPr>
        <w:t>City</w:t>
      </w:r>
      <w:proofErr w:type="gramEnd"/>
      <w:r>
        <w:rPr>
          <w:rFonts w:cs="Arial"/>
        </w:rPr>
        <w:t xml:space="preserve"> participates in numerous committees and coalitions, including the Affordable Housing Committee and the Rio Grande Housing Collaborative, and the Housing Neighborhood Economic Development Committee, which meet regularly to advocate for affordable housing and economic development.</w:t>
      </w:r>
    </w:p>
    <w:p w:rsidR="00CD6A25" w:rsidRDefault="00000000">
      <w:pPr>
        <w:keepNext/>
        <w:widowControl w:val="0"/>
        <w:rPr>
          <w:b/>
          <w:sz w:val="24"/>
          <w:szCs w:val="24"/>
        </w:rPr>
      </w:pPr>
      <w:r>
        <w:rPr>
          <w:b/>
          <w:sz w:val="24"/>
          <w:szCs w:val="24"/>
        </w:rPr>
        <w:t>Actions planned to enhance coordination between public and private housing and social service agencies</w:t>
      </w:r>
    </w:p>
    <w:p w:rsidR="00CD6A25" w:rsidRDefault="00000000">
      <w:pPr>
        <w:keepNext/>
        <w:widowControl w:val="0"/>
        <w:spacing w:beforeAutospacing="1" w:afterAutospacing="1"/>
        <w:rPr>
          <w:rFonts w:cs="Arial"/>
          <w:szCs w:val="26"/>
        </w:rPr>
      </w:pPr>
      <w:r>
        <w:rPr>
          <w:rFonts w:cs="Arial"/>
        </w:rPr>
        <w:t xml:space="preserve">Preventing and ending homelessness is a HUD priority addressed nationally through coordination of regional strategies carried out locally by government agencies and a wide variety of community-based organizations and faith-based groups. Consistent with this approach, the City of Albuquerque supports </w:t>
      </w:r>
      <w:r>
        <w:rPr>
          <w:rFonts w:cs="Arial"/>
        </w:rPr>
        <w:lastRenderedPageBreak/>
        <w:t>the efforts of the New Mexico Coalition to End Homelessness, the State's lead agency for the Continuum of Care (CoC), and its member organizations that address homelessness throughout the city. In alignment with this strategy, the City will use CDBG, HOME, WHTF, ESG, and General funds to support local service providers with programs to prevent homelessness, provide social services and develop and/or preserve affordable housing in Albuquerque for low and moderate-income residents.</w:t>
      </w:r>
    </w:p>
    <w:p w:rsidR="00CD6A25" w:rsidRDefault="00000000">
      <w:pPr>
        <w:keepNext/>
        <w:widowControl w:val="0"/>
        <w:spacing w:beforeAutospacing="1" w:afterAutospacing="1"/>
        <w:rPr>
          <w:rFonts w:cs="Arial"/>
          <w:szCs w:val="26"/>
        </w:rPr>
      </w:pPr>
      <w:r>
        <w:rPr>
          <w:rFonts w:cs="Arial"/>
        </w:rPr>
        <w:t>Members of the behavioral health community, including those with lived experience, meet regularly with local law enforcement as part of the Mental Health Response Advisory Committee (MHRAC). Initially the Committee was mandated by the Department of Justice as means of providing guidance and support to the Albuquerque Police Department in its interactions with those unhoused individuals experiencing mental illness. Though the Committee is no longer mandated, the group felt it important to continue meeting and working together. MHRAC analyzes and recommends changes to policies, procedures and training methods regarding law enforcement contact with those persons who may be mentally ill or experiencing a mental health crisis.  </w:t>
      </w:r>
    </w:p>
    <w:p w:rsidR="00CD6A25" w:rsidRDefault="00000000">
      <w:pPr>
        <w:keepNext/>
        <w:widowControl w:val="0"/>
        <w:spacing w:beforeAutospacing="1" w:afterAutospacing="1"/>
        <w:rPr>
          <w:rFonts w:cs="Arial"/>
          <w:szCs w:val="26"/>
        </w:rPr>
      </w:pPr>
      <w:r>
        <w:rPr>
          <w:rFonts w:cs="Arial"/>
        </w:rPr>
        <w:t xml:space="preserve">The </w:t>
      </w:r>
      <w:proofErr w:type="gramStart"/>
      <w:r>
        <w:rPr>
          <w:rFonts w:cs="Arial"/>
        </w:rPr>
        <w:t>City</w:t>
      </w:r>
      <w:proofErr w:type="gramEnd"/>
      <w:r>
        <w:rPr>
          <w:rFonts w:cs="Arial"/>
        </w:rPr>
        <w:t xml:space="preserve"> will continue efforts to be involved with a variety of committees and groups, such as the Greater Albuquerque Chamber of Commerce, the Hispano Chamber of Commerce, the Affordable Housing Committee, the Affordable Housing Coalition, and the New Mexico Coalition to End Homelessness, in order to stay apprised of the needs of city residents, as well as to ensure that solutions to meeting these needs are being discussed. Department staff participate in several groups that focus on increasing and the availability of affordable housing, such as the League of Women Voters, Strong Towns Albuquerque, Urban Land Institute, National Association of Industrial and Office Parks (NAIOP), </w:t>
      </w:r>
      <w:proofErr w:type="spellStart"/>
      <w:r>
        <w:rPr>
          <w:rFonts w:cs="Arial"/>
        </w:rPr>
        <w:t>Lamada</w:t>
      </w:r>
      <w:proofErr w:type="spellEnd"/>
      <w:r>
        <w:rPr>
          <w:rFonts w:cs="Arial"/>
        </w:rPr>
        <w:t xml:space="preserve"> Alpha International, Indivisible/Albuquerque, and AFLCIO. The </w:t>
      </w:r>
      <w:proofErr w:type="gramStart"/>
      <w:r>
        <w:rPr>
          <w:rFonts w:cs="Arial"/>
        </w:rPr>
        <w:t>City</w:t>
      </w:r>
      <w:proofErr w:type="gramEnd"/>
      <w:r>
        <w:rPr>
          <w:rFonts w:cs="Arial"/>
        </w:rPr>
        <w:t xml:space="preserve"> is also working with Kirtland Air Force Base on housing for military personnel. </w:t>
      </w:r>
    </w:p>
    <w:p w:rsidR="00CD6A25" w:rsidRDefault="00000000">
      <w:pPr>
        <w:keepNext/>
        <w:widowControl w:val="0"/>
        <w:spacing w:beforeAutospacing="1" w:afterAutospacing="1"/>
        <w:rPr>
          <w:rFonts w:cs="Arial"/>
          <w:szCs w:val="26"/>
        </w:rPr>
      </w:pPr>
      <w:r>
        <w:rPr>
          <w:rFonts w:cs="Arial"/>
        </w:rPr>
        <w:t xml:space="preserve">The many groups the </w:t>
      </w:r>
      <w:proofErr w:type="gramStart"/>
      <w:r>
        <w:rPr>
          <w:rFonts w:cs="Arial"/>
        </w:rPr>
        <w:t>City</w:t>
      </w:r>
      <w:proofErr w:type="gramEnd"/>
      <w:r>
        <w:rPr>
          <w:rFonts w:cs="Arial"/>
        </w:rPr>
        <w:t xml:space="preserve"> is involved with represent the interests of the private industry, local businesses, developers and social services agencies. Through continued collaboration and involvement with groups like these the </w:t>
      </w:r>
      <w:proofErr w:type="gramStart"/>
      <w:r>
        <w:rPr>
          <w:rFonts w:cs="Arial"/>
        </w:rPr>
        <w:t>City</w:t>
      </w:r>
      <w:proofErr w:type="gramEnd"/>
      <w:r>
        <w:rPr>
          <w:rFonts w:cs="Arial"/>
        </w:rPr>
        <w:t xml:space="preserve"> encourages joint efforts in addressing and finding solutions to the needs of Albuquerque residents.</w:t>
      </w:r>
    </w:p>
    <w:p w:rsidR="00CD6A25" w:rsidRDefault="00000000">
      <w:pPr>
        <w:keepNext/>
        <w:widowControl w:val="0"/>
        <w:spacing w:beforeAutospacing="1" w:afterAutospacing="1"/>
        <w:rPr>
          <w:rFonts w:cs="Arial"/>
          <w:szCs w:val="26"/>
        </w:rPr>
      </w:pPr>
      <w:r>
        <w:rPr>
          <w:rFonts w:cs="Arial"/>
        </w:rPr>
        <w:t xml:space="preserve">Internally the City’s Department of Health, Housing &amp; Homelessness, Planning Department and Metropolitan Redevelopment Agency coordinate on land use issues in order to assist and effectuate affordable housing for Albuquerque residents. A working group, comprised of staff from various City Departments, assists in promoting programs and policies under the “Housing Forward” umbrella. These departments consist of the following: Health, Housing &amp; Homelessness, Planning, Metropolitan Redevelopment Agency, Senior </w:t>
      </w:r>
      <w:proofErr w:type="gramStart"/>
      <w:r>
        <w:rPr>
          <w:rFonts w:cs="Arial"/>
        </w:rPr>
        <w:t>Affairs  and</w:t>
      </w:r>
      <w:proofErr w:type="gramEnd"/>
      <w:r>
        <w:rPr>
          <w:rFonts w:cs="Arial"/>
        </w:rPr>
        <w:t xml:space="preserve"> Environmental Policy &amp; Sustainability. </w:t>
      </w:r>
    </w:p>
    <w:p w:rsidR="00CD6A25" w:rsidRDefault="00000000">
      <w:pPr>
        <w:keepNext/>
        <w:widowControl w:val="0"/>
        <w:spacing w:line="204" w:lineRule="auto"/>
        <w:rPr>
          <w:b/>
          <w:sz w:val="24"/>
          <w:szCs w:val="24"/>
        </w:rPr>
      </w:pPr>
      <w:r>
        <w:rPr>
          <w:b/>
          <w:sz w:val="24"/>
          <w:szCs w:val="24"/>
        </w:rPr>
        <w:t xml:space="preserve">Discussion: </w:t>
      </w:r>
    </w:p>
    <w:p w:rsidR="00CD6A25" w:rsidRDefault="00000000">
      <w:pPr>
        <w:keepNext/>
        <w:widowControl w:val="0"/>
        <w:spacing w:beforeAutospacing="1" w:afterAutospacing="1"/>
        <w:rPr>
          <w:b/>
          <w:sz w:val="24"/>
          <w:szCs w:val="24"/>
        </w:rPr>
      </w:pPr>
      <w:r>
        <w:rPr>
          <w:rFonts w:cs="Arial"/>
        </w:rPr>
        <w:t xml:space="preserve">Despite many challenges, the City will continue to dedicate funds to help address the housing and non-housing needs of at-risk and low- to moderate-income households. This includes promoting the development and preservation of affordable housing as well as homeownership opportunities for low- </w:t>
      </w:r>
      <w:r>
        <w:rPr>
          <w:rFonts w:cs="Arial"/>
        </w:rPr>
        <w:lastRenderedPageBreak/>
        <w:t xml:space="preserve">to moderate-income persons. Continued efforts will also be made in preventing homelessness, through housing activities. The </w:t>
      </w:r>
      <w:proofErr w:type="gramStart"/>
      <w:r>
        <w:rPr>
          <w:rFonts w:cs="Arial"/>
        </w:rPr>
        <w:t>City</w:t>
      </w:r>
      <w:proofErr w:type="gramEnd"/>
      <w:r>
        <w:rPr>
          <w:rFonts w:cs="Arial"/>
        </w:rPr>
        <w:t xml:space="preserve"> will work to maintain relationships, as well as building new ones, with the many housing and social service agencies providing services to those most in need. </w:t>
      </w:r>
    </w:p>
    <w:p w:rsidR="00CD6A25" w:rsidRDefault="00000000">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rsidR="00CD6A25" w:rsidRDefault="00000000">
      <w:pPr>
        <w:rPr>
          <w:b/>
          <w:sz w:val="28"/>
          <w:szCs w:val="28"/>
        </w:rPr>
      </w:pPr>
      <w:r>
        <w:rPr>
          <w:b/>
          <w:sz w:val="28"/>
          <w:szCs w:val="28"/>
        </w:rPr>
        <w:t>AP-90 Program Specific Requirements – 91.220(l</w:t>
      </w:r>
      <w:proofErr w:type="gramStart"/>
      <w:r>
        <w:rPr>
          <w:b/>
          <w:sz w:val="28"/>
          <w:szCs w:val="28"/>
        </w:rPr>
        <w:t>)(</w:t>
      </w:r>
      <w:proofErr w:type="gramEnd"/>
      <w:r>
        <w:rPr>
          <w:b/>
          <w:sz w:val="28"/>
          <w:szCs w:val="28"/>
        </w:rPr>
        <w:t>1,2,4)</w:t>
      </w:r>
    </w:p>
    <w:p w:rsidR="00CD6A25" w:rsidRDefault="00000000">
      <w:pPr>
        <w:keepNext/>
        <w:widowControl w:val="0"/>
        <w:spacing w:line="204" w:lineRule="auto"/>
        <w:rPr>
          <w:b/>
          <w:sz w:val="24"/>
          <w:szCs w:val="24"/>
        </w:rPr>
      </w:pPr>
      <w:r>
        <w:rPr>
          <w:b/>
          <w:sz w:val="24"/>
          <w:szCs w:val="24"/>
        </w:rPr>
        <w:t xml:space="preserve">Introduction: </w:t>
      </w:r>
    </w:p>
    <w:p w:rsidR="00CD6A25" w:rsidRDefault="00000000">
      <w:pPr>
        <w:keepNext/>
        <w:widowControl w:val="0"/>
        <w:spacing w:beforeAutospacing="1" w:afterAutospacing="1"/>
        <w:rPr>
          <w:b/>
          <w:sz w:val="24"/>
          <w:szCs w:val="24"/>
        </w:rPr>
      </w:pPr>
      <w:r>
        <w:rPr>
          <w:rFonts w:cs="Arial"/>
        </w:rPr>
        <w:t>In the implementation of programs and activities under the 2025 Program Year Action Plan, the City of Albuquerque will follow all HUD regulations concerning the use of program income, forms of investment, overall low and moderate-income benefit for the CDBG program, Resale/Recapture requirements for the HOME program and ESG performance standards.</w:t>
      </w:r>
    </w:p>
    <w:p w:rsidR="00CD6A25" w:rsidRDefault="00000000">
      <w:pPr>
        <w:keepNext/>
        <w:widowControl w:val="0"/>
        <w:spacing w:beforeAutospacing="1" w:afterAutospacing="1"/>
        <w:rPr>
          <w:b/>
          <w:sz w:val="24"/>
          <w:szCs w:val="24"/>
        </w:rPr>
      </w:pPr>
      <w:r>
        <w:rPr>
          <w:rFonts w:cs="Arial"/>
        </w:rPr>
        <w:t xml:space="preserve">The </w:t>
      </w:r>
      <w:proofErr w:type="gramStart"/>
      <w:r>
        <w:rPr>
          <w:rFonts w:cs="Arial"/>
        </w:rPr>
        <w:t>City</w:t>
      </w:r>
      <w:proofErr w:type="gramEnd"/>
      <w:r>
        <w:rPr>
          <w:rFonts w:cs="Arial"/>
        </w:rPr>
        <w:t xml:space="preserve"> certifies that it will pursue all resources indicated in this Plan and will not willingly or knowingly hinder the implementation of any planned activities. The City will continue to abide by the definitions of eligible applicants for funding as described in the Department of Health, Housing &amp; Homelessness Administrative Requirements, as amended. These Requirements are located on the Department's website at:  </w:t>
      </w:r>
      <w:proofErr w:type="gramStart"/>
      <w:r>
        <w:rPr>
          <w:rFonts w:cs="Arial"/>
        </w:rPr>
        <w:t>https://www.cabq.gov/family/documents/administrative-requirements-for-contracts-awarded-under-the-city-of-albuquerque-effective-july-1-2023-signed.pdf  .</w:t>
      </w:r>
      <w:proofErr w:type="gramEnd"/>
      <w:r>
        <w:rPr>
          <w:rFonts w:cs="Arial"/>
        </w:rPr>
        <w:t xml:space="preserve"> Per the City’s Procurement Rules, if a Plan has been developed through a citizen participation process and contains one or more Agreements an RFP is not required for the resulting Agreements. The City will, however, continue to use a Request for Proposal Process (RFP) to solicit affordable housing development projects from eligible applicants and abide by the RFP process outlined in the Department's Social Services Contracts Procurement Rules and Regulations. This document is also located on the Department’s website at the following link:</w:t>
      </w:r>
    </w:p>
    <w:p w:rsidR="00CD6A25" w:rsidRDefault="00000000">
      <w:pPr>
        <w:keepNext/>
        <w:widowControl w:val="0"/>
        <w:spacing w:beforeAutospacing="1" w:afterAutospacing="1"/>
        <w:rPr>
          <w:b/>
          <w:sz w:val="24"/>
          <w:szCs w:val="24"/>
        </w:rPr>
      </w:pPr>
      <w:proofErr w:type="gramStart"/>
      <w:r>
        <w:rPr>
          <w:rFonts w:cs="Arial"/>
        </w:rPr>
        <w:t>https://www.cabq.gov/health-housing-homelessness/partner-resources/request-for-proposals .</w:t>
      </w:r>
      <w:proofErr w:type="gramEnd"/>
    </w:p>
    <w:p w:rsidR="00CD6A25" w:rsidRDefault="00000000">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rsidR="00CD6A25" w:rsidRDefault="00000000">
      <w:pPr>
        <w:keepNext/>
        <w:widowControl w:val="0"/>
        <w:spacing w:after="0" w:line="240" w:lineRule="auto"/>
        <w:jc w:val="center"/>
        <w:rPr>
          <w:rFonts w:cs="Arial"/>
          <w:b/>
          <w:sz w:val="24"/>
          <w:szCs w:val="24"/>
        </w:rPr>
      </w:pPr>
      <w:r>
        <w:rPr>
          <w:rFonts w:cs="Arial"/>
          <w:b/>
          <w:sz w:val="24"/>
          <w:szCs w:val="24"/>
        </w:rPr>
        <w:t>Reference 24 CFR 91.220(l)(1)</w:t>
      </w:r>
      <w:r>
        <w:rPr>
          <w:i/>
        </w:rPr>
        <w:t xml:space="preserve"> </w:t>
      </w:r>
    </w:p>
    <w:p w:rsidR="00CD6A25" w:rsidRDefault="00000000">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p>
    <w:p w:rsidR="00CD6A25" w:rsidRDefault="00CD6A25">
      <w:pPr>
        <w:widowControl w:val="0"/>
        <w:spacing w:after="0" w:line="240" w:lineRule="auto"/>
        <w:rPr>
          <w:rFonts w:cs="Arial"/>
        </w:rPr>
      </w:pPr>
    </w:p>
    <w:tbl>
      <w:tblPr>
        <w:tblW w:w="5000" w:type="pct"/>
        <w:tblInd w:w="115" w:type="dxa"/>
        <w:tblLook w:val="01E0" w:firstRow="1" w:lastRow="1" w:firstColumn="1" w:lastColumn="1" w:noHBand="0" w:noVBand="0"/>
      </w:tblPr>
      <w:tblGrid>
        <w:gridCol w:w="8529"/>
        <w:gridCol w:w="831"/>
      </w:tblGrid>
      <w:tr w:rsidR="00CD6A25">
        <w:tc>
          <w:tcPr>
            <w:tcW w:w="9576" w:type="dxa"/>
            <w:gridSpan w:val="2"/>
          </w:tcPr>
          <w:p w:rsidR="00CD6A25" w:rsidRDefault="00CD6A25">
            <w:pPr>
              <w:keepNext/>
              <w:widowControl w:val="0"/>
              <w:spacing w:after="0" w:line="240" w:lineRule="auto"/>
              <w:rPr>
                <w:rFonts w:cs="Arial"/>
              </w:rPr>
            </w:pPr>
          </w:p>
        </w:tc>
      </w:tr>
      <w:tr w:rsidR="00CD6A25">
        <w:trPr>
          <w:cantSplit/>
        </w:trPr>
        <w:tc>
          <w:tcPr>
            <w:tcW w:w="0" w:type="auto"/>
            <w:vAlign w:val="center"/>
          </w:tcPr>
          <w:p w:rsidR="00CD6A25" w:rsidRDefault="00000000">
            <w:pPr>
              <w:spacing w:beforeAutospacing="1" w:afterAutospacing="1"/>
            </w:pPr>
            <w:r>
              <w:rPr>
                <w:color w:val="000000"/>
              </w:rPr>
              <w:t>1. The total amount of program income that will have been received before the start of the next program year and that has not yet been reprogrammed</w:t>
            </w:r>
          </w:p>
        </w:tc>
        <w:tc>
          <w:tcPr>
            <w:tcW w:w="0" w:type="auto"/>
            <w:vAlign w:val="bottom"/>
          </w:tcPr>
          <w:p w:rsidR="00CD6A25" w:rsidRDefault="00000000">
            <w:pPr>
              <w:spacing w:beforeAutospacing="1" w:afterAutospacing="1"/>
              <w:jc w:val="right"/>
            </w:pPr>
            <w:r>
              <w:rPr>
                <w:color w:val="000000"/>
              </w:rPr>
              <w:t>15,470</w:t>
            </w:r>
          </w:p>
        </w:tc>
      </w:tr>
      <w:tr w:rsidR="00CD6A25">
        <w:trPr>
          <w:cantSplit/>
        </w:trPr>
        <w:tc>
          <w:tcPr>
            <w:tcW w:w="0" w:type="auto"/>
            <w:vAlign w:val="center"/>
          </w:tcPr>
          <w:p w:rsidR="00CD6A25" w:rsidRDefault="00000000">
            <w:pPr>
              <w:spacing w:beforeAutospacing="1" w:afterAutospacing="1"/>
            </w:pPr>
            <w:r>
              <w:rPr>
                <w:color w:val="000000"/>
              </w:rPr>
              <w:t>2. The amount of proceeds from section 108 loan guarantees that will be used during the year to address the priority needs and specific objectives identified in the grantee's strategic plan.</w:t>
            </w:r>
          </w:p>
        </w:tc>
        <w:tc>
          <w:tcPr>
            <w:tcW w:w="0" w:type="auto"/>
            <w:vAlign w:val="bottom"/>
          </w:tcPr>
          <w:p w:rsidR="00CD6A25" w:rsidRDefault="00000000">
            <w:pPr>
              <w:spacing w:beforeAutospacing="1" w:afterAutospacing="1"/>
              <w:jc w:val="right"/>
            </w:pPr>
            <w:r>
              <w:rPr>
                <w:color w:val="000000"/>
              </w:rPr>
              <w:t>0</w:t>
            </w:r>
          </w:p>
        </w:tc>
      </w:tr>
      <w:tr w:rsidR="00CD6A25">
        <w:trPr>
          <w:cantSplit/>
        </w:trPr>
        <w:tc>
          <w:tcPr>
            <w:tcW w:w="0" w:type="auto"/>
            <w:vAlign w:val="center"/>
          </w:tcPr>
          <w:p w:rsidR="00CD6A25" w:rsidRDefault="00000000">
            <w:pPr>
              <w:spacing w:beforeAutospacing="1" w:afterAutospacing="1"/>
            </w:pPr>
            <w:r>
              <w:rPr>
                <w:color w:val="000000"/>
              </w:rPr>
              <w:t>3. The amount of surplus funds from urban renewal settlements</w:t>
            </w:r>
          </w:p>
        </w:tc>
        <w:tc>
          <w:tcPr>
            <w:tcW w:w="0" w:type="auto"/>
            <w:vAlign w:val="bottom"/>
          </w:tcPr>
          <w:p w:rsidR="00CD6A25" w:rsidRDefault="00000000">
            <w:pPr>
              <w:spacing w:beforeAutospacing="1" w:afterAutospacing="1"/>
              <w:jc w:val="right"/>
            </w:pPr>
            <w:r>
              <w:rPr>
                <w:color w:val="000000"/>
              </w:rPr>
              <w:t>0</w:t>
            </w:r>
          </w:p>
        </w:tc>
      </w:tr>
      <w:tr w:rsidR="00CD6A25">
        <w:trPr>
          <w:cantSplit/>
        </w:trPr>
        <w:tc>
          <w:tcPr>
            <w:tcW w:w="0" w:type="auto"/>
            <w:vAlign w:val="center"/>
          </w:tcPr>
          <w:p w:rsidR="00CD6A25" w:rsidRDefault="00000000">
            <w:pPr>
              <w:spacing w:beforeAutospacing="1" w:afterAutospacing="1"/>
            </w:pPr>
            <w:r>
              <w:rPr>
                <w:color w:val="000000"/>
              </w:rPr>
              <w:t>4. The amount of any grant funds returned to the line of credit for which the planned use has not been included in a prior statement or plan</w:t>
            </w:r>
          </w:p>
        </w:tc>
        <w:tc>
          <w:tcPr>
            <w:tcW w:w="0" w:type="auto"/>
            <w:vAlign w:val="bottom"/>
          </w:tcPr>
          <w:p w:rsidR="00CD6A25" w:rsidRDefault="00000000">
            <w:pPr>
              <w:spacing w:beforeAutospacing="1" w:afterAutospacing="1"/>
              <w:jc w:val="right"/>
            </w:pPr>
            <w:r>
              <w:rPr>
                <w:color w:val="000000"/>
              </w:rPr>
              <w:t>0</w:t>
            </w:r>
          </w:p>
        </w:tc>
      </w:tr>
      <w:tr w:rsidR="00CD6A25">
        <w:trPr>
          <w:cantSplit/>
        </w:trPr>
        <w:tc>
          <w:tcPr>
            <w:tcW w:w="0" w:type="auto"/>
            <w:vAlign w:val="center"/>
          </w:tcPr>
          <w:p w:rsidR="00CD6A25" w:rsidRDefault="00000000">
            <w:pPr>
              <w:spacing w:beforeAutospacing="1" w:afterAutospacing="1"/>
            </w:pPr>
            <w:r>
              <w:rPr>
                <w:color w:val="000000"/>
              </w:rPr>
              <w:t>5. The amount of income from float-funded activities</w:t>
            </w:r>
          </w:p>
        </w:tc>
        <w:tc>
          <w:tcPr>
            <w:tcW w:w="0" w:type="auto"/>
            <w:vAlign w:val="bottom"/>
          </w:tcPr>
          <w:p w:rsidR="00CD6A25" w:rsidRDefault="00000000">
            <w:pPr>
              <w:spacing w:beforeAutospacing="1" w:afterAutospacing="1"/>
              <w:jc w:val="right"/>
            </w:pPr>
            <w:r>
              <w:rPr>
                <w:color w:val="000000"/>
              </w:rPr>
              <w:t>0</w:t>
            </w:r>
          </w:p>
        </w:tc>
      </w:tr>
      <w:tr w:rsidR="00CD6A25">
        <w:trPr>
          <w:cantSplit/>
        </w:trPr>
        <w:tc>
          <w:tcPr>
            <w:tcW w:w="0" w:type="auto"/>
            <w:vAlign w:val="center"/>
          </w:tcPr>
          <w:p w:rsidR="00CD6A25" w:rsidRDefault="00000000">
            <w:pPr>
              <w:spacing w:beforeAutospacing="1" w:afterAutospacing="1"/>
            </w:pPr>
            <w:r>
              <w:rPr>
                <w:b/>
                <w:color w:val="000000"/>
              </w:rPr>
              <w:t>Total Program Income:</w:t>
            </w:r>
          </w:p>
        </w:tc>
        <w:tc>
          <w:tcPr>
            <w:tcW w:w="0" w:type="auto"/>
            <w:vAlign w:val="center"/>
          </w:tcPr>
          <w:p w:rsidR="00CD6A25" w:rsidRDefault="00000000">
            <w:pPr>
              <w:spacing w:beforeAutospacing="1" w:afterAutospacing="1"/>
              <w:jc w:val="right"/>
            </w:pPr>
            <w:r>
              <w:rPr>
                <w:b/>
                <w:color w:val="000000"/>
              </w:rPr>
              <w:t>15,470</w:t>
            </w:r>
          </w:p>
        </w:tc>
      </w:tr>
    </w:tbl>
    <w:p w:rsidR="00CD6A25" w:rsidRDefault="00CD6A25">
      <w:pPr>
        <w:keepNext/>
        <w:widowControl w:val="0"/>
        <w:spacing w:after="0" w:line="240" w:lineRule="auto"/>
        <w:rPr>
          <w:rFonts w:cs="Arial"/>
        </w:rPr>
      </w:pPr>
    </w:p>
    <w:p w:rsidR="00CD6A25" w:rsidRDefault="00000000">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8599"/>
        <w:gridCol w:w="761"/>
      </w:tblGrid>
      <w:tr w:rsidR="00CD6A25">
        <w:tc>
          <w:tcPr>
            <w:tcW w:w="9576" w:type="dxa"/>
            <w:gridSpan w:val="2"/>
          </w:tcPr>
          <w:p w:rsidR="00CD6A25" w:rsidRDefault="00CD6A25">
            <w:pPr>
              <w:keepNext/>
              <w:widowControl w:val="0"/>
              <w:spacing w:after="0" w:line="240" w:lineRule="auto"/>
              <w:rPr>
                <w:rFonts w:cs="Arial"/>
              </w:rPr>
            </w:pPr>
          </w:p>
        </w:tc>
      </w:tr>
      <w:tr w:rsidR="00CD6A25">
        <w:trPr>
          <w:cantSplit/>
        </w:trPr>
        <w:tc>
          <w:tcPr>
            <w:tcW w:w="0" w:type="auto"/>
          </w:tcPr>
          <w:p w:rsidR="00CD6A25" w:rsidRDefault="00000000">
            <w:pPr>
              <w:spacing w:beforeAutospacing="1" w:afterAutospacing="1"/>
            </w:pPr>
            <w:r>
              <w:rPr>
                <w:color w:val="000000"/>
              </w:rPr>
              <w:t>1. The amount of urgent need activities</w:t>
            </w:r>
          </w:p>
        </w:tc>
        <w:tc>
          <w:tcPr>
            <w:tcW w:w="0" w:type="auto"/>
            <w:vAlign w:val="bottom"/>
          </w:tcPr>
          <w:p w:rsidR="00CD6A25" w:rsidRDefault="00000000">
            <w:pPr>
              <w:spacing w:beforeAutospacing="1" w:afterAutospacing="1"/>
              <w:jc w:val="right"/>
            </w:pPr>
            <w:r>
              <w:rPr>
                <w:color w:val="000000"/>
              </w:rPr>
              <w:t>0</w:t>
            </w:r>
          </w:p>
        </w:tc>
      </w:tr>
    </w:tbl>
    <w:p w:rsidR="00CD6A25" w:rsidRDefault="00CD6A25">
      <w:pPr>
        <w:widowControl w:val="0"/>
        <w:spacing w:after="0" w:line="240" w:lineRule="auto"/>
        <w:rPr>
          <w:rFonts w:cs="Arial"/>
          <w:vanish/>
          <w:sz w:val="4"/>
          <w:szCs w:val="4"/>
        </w:rPr>
      </w:pPr>
    </w:p>
    <w:tbl>
      <w:tblPr>
        <w:tblW w:w="4999" w:type="pct"/>
        <w:tblInd w:w="115" w:type="dxa"/>
        <w:tblLayout w:type="fixed"/>
        <w:tblCellMar>
          <w:left w:w="115" w:type="dxa"/>
          <w:right w:w="115" w:type="dxa"/>
        </w:tblCellMar>
        <w:tblLook w:val="01E0" w:firstRow="1" w:lastRow="1" w:firstColumn="1" w:lastColumn="1" w:noHBand="0" w:noVBand="0"/>
      </w:tblPr>
      <w:tblGrid>
        <w:gridCol w:w="7729"/>
        <w:gridCol w:w="1629"/>
      </w:tblGrid>
      <w:tr w:rsidR="00CD6A25">
        <w:tc>
          <w:tcPr>
            <w:tcW w:w="7923" w:type="dxa"/>
          </w:tcPr>
          <w:p w:rsidR="00CD6A25" w:rsidRDefault="00CD6A25">
            <w:pPr>
              <w:keepNext/>
              <w:widowControl w:val="0"/>
              <w:spacing w:after="0" w:line="240" w:lineRule="auto"/>
              <w:rPr>
                <w:rFonts w:cs="Arial"/>
              </w:rPr>
            </w:pPr>
          </w:p>
        </w:tc>
        <w:tc>
          <w:tcPr>
            <w:tcW w:w="1665" w:type="dxa"/>
          </w:tcPr>
          <w:p w:rsidR="00CD6A25" w:rsidRDefault="00CD6A25">
            <w:pPr>
              <w:keepNext/>
              <w:widowControl w:val="0"/>
              <w:spacing w:after="0" w:line="240" w:lineRule="auto"/>
              <w:rPr>
                <w:rFonts w:cs="Arial"/>
              </w:rPr>
            </w:pPr>
          </w:p>
        </w:tc>
      </w:tr>
      <w:tr w:rsidR="00CD6A25">
        <w:trPr>
          <w:cantSplit/>
        </w:trPr>
        <w:tc>
          <w:tcPr>
            <w:tcW w:w="7923" w:type="dxa"/>
          </w:tcPr>
          <w:p w:rsidR="00CD6A25" w:rsidRDefault="00000000">
            <w:pPr>
              <w:spacing w:beforeAutospacing="1" w:afterAutospacing="1"/>
            </w:pPr>
            <w:r>
              <w:rPr>
                <w:color w:val="000000"/>
              </w:rPr>
              <w:t xml:space="preserve">2. The estimated percentage of CDBG funds that will be used for activities that benefit persons of low and moderate </w:t>
            </w:r>
            <w:proofErr w:type="spellStart"/>
            <w:proofErr w:type="gramStart"/>
            <w:r>
              <w:rPr>
                <w:color w:val="000000"/>
              </w:rPr>
              <w:t>income.Overall</w:t>
            </w:r>
            <w:proofErr w:type="spellEnd"/>
            <w:proofErr w:type="gramEnd"/>
            <w:r>
              <w:rPr>
                <w:color w:val="000000"/>
              </w:rPr>
              <w:t xml:space="preserve"> Benefit - A consecutive period of one, two or three years may be used to determine that a minimum overall benefit of 70% of CDBG funds is used to benefit persons of low and moderate income. Specify the years covered that include this Annual Action Plan.</w:t>
            </w:r>
          </w:p>
        </w:tc>
        <w:tc>
          <w:tcPr>
            <w:tcW w:w="1665" w:type="dxa"/>
            <w:vAlign w:val="bottom"/>
          </w:tcPr>
          <w:p w:rsidR="00CD6A25" w:rsidRDefault="00000000">
            <w:pPr>
              <w:spacing w:beforeAutospacing="1" w:afterAutospacing="1"/>
              <w:jc w:val="right"/>
            </w:pPr>
            <w:r>
              <w:rPr>
                <w:color w:val="000000"/>
              </w:rPr>
              <w:t>100.00%</w:t>
            </w:r>
          </w:p>
        </w:tc>
      </w:tr>
    </w:tbl>
    <w:p w:rsidR="00CD6A25" w:rsidRDefault="00CD6A25">
      <w:pPr>
        <w:spacing w:after="0" w:line="240" w:lineRule="auto"/>
        <w:rPr>
          <w:rFonts w:cs="Arial"/>
        </w:rPr>
      </w:pPr>
    </w:p>
    <w:p w:rsidR="00CD6A25" w:rsidRDefault="00CD6A25">
      <w:pPr>
        <w:spacing w:after="0" w:line="240" w:lineRule="auto"/>
        <w:rPr>
          <w:rFonts w:cs="Arial"/>
        </w:rPr>
      </w:pPr>
    </w:p>
    <w:p w:rsidR="00CD6A25" w:rsidRDefault="00CD6A25">
      <w:pPr>
        <w:spacing w:after="0" w:line="240" w:lineRule="auto"/>
        <w:rPr>
          <w:rFonts w:cs="Arial"/>
        </w:rPr>
      </w:pPr>
    </w:p>
    <w:p w:rsidR="00CD6A25" w:rsidRDefault="00000000">
      <w:pPr>
        <w:keepNext/>
        <w:spacing w:after="0" w:line="240" w:lineRule="auto"/>
        <w:jc w:val="center"/>
        <w:rPr>
          <w:rFonts w:cs="Arial"/>
          <w:b/>
          <w:sz w:val="24"/>
          <w:szCs w:val="24"/>
        </w:rPr>
      </w:pPr>
      <w:r>
        <w:rPr>
          <w:rFonts w:cs="Arial"/>
          <w:b/>
          <w:sz w:val="24"/>
          <w:szCs w:val="24"/>
        </w:rPr>
        <w:t>HOME Investment Partnership Program (HOME)</w:t>
      </w:r>
      <w:r>
        <w:rPr>
          <w:i/>
        </w:rPr>
        <w:t xml:space="preserve"> </w:t>
      </w:r>
    </w:p>
    <w:p w:rsidR="00CD6A25" w:rsidRDefault="00000000">
      <w:pPr>
        <w:keepNext/>
        <w:spacing w:after="0" w:line="240" w:lineRule="auto"/>
        <w:jc w:val="center"/>
        <w:rPr>
          <w:rFonts w:cs="Arial"/>
          <w:b/>
          <w:sz w:val="24"/>
          <w:szCs w:val="24"/>
        </w:rPr>
      </w:pPr>
      <w:r>
        <w:rPr>
          <w:rFonts w:cs="Arial"/>
          <w:b/>
          <w:sz w:val="24"/>
          <w:szCs w:val="24"/>
        </w:rPr>
        <w:t>Reference 24 CFR 91.220(l)(2)</w:t>
      </w:r>
      <w:r>
        <w:rPr>
          <w:i/>
        </w:rPr>
        <w:t xml:space="preserve"> </w:t>
      </w:r>
    </w:p>
    <w:p w:rsidR="00CD6A25" w:rsidRDefault="00000000">
      <w:pPr>
        <w:keepNext/>
        <w:widowControl w:val="0"/>
        <w:numPr>
          <w:ilvl w:val="0"/>
          <w:numId w:val="13"/>
        </w:numPr>
        <w:spacing w:after="0" w:line="240" w:lineRule="auto"/>
        <w:rPr>
          <w:rFonts w:cs="Arial"/>
        </w:rPr>
      </w:pPr>
      <w:r>
        <w:rPr>
          <w:rFonts w:cs="Arial"/>
        </w:rPr>
        <w:t>A description of other forms of investment being used beyond those identified in Section 92.205 is as follows:</w:t>
      </w:r>
      <w:r>
        <w:rPr>
          <w:i/>
        </w:rPr>
        <w:t xml:space="preserve"> </w:t>
      </w:r>
    </w:p>
    <w:p w:rsidR="00CD6A25" w:rsidRDefault="00000000">
      <w:pPr>
        <w:keepNext/>
        <w:widowControl w:val="0"/>
        <w:spacing w:beforeAutospacing="1" w:afterAutospacing="1"/>
        <w:ind w:left="360"/>
        <w:rPr>
          <w:rFonts w:cs="Arial"/>
        </w:rPr>
      </w:pPr>
      <w:r>
        <w:rPr>
          <w:rFonts w:cs="Arial"/>
        </w:rPr>
        <w:t>The City of Albuquerque does not use any other forms of investment beyond what is identified in Section 92.205.</w:t>
      </w:r>
    </w:p>
    <w:p w:rsidR="00CD6A25" w:rsidRDefault="00CD6A25">
      <w:pPr>
        <w:spacing w:after="0" w:line="240" w:lineRule="auto"/>
        <w:rPr>
          <w:rFonts w:cs="Arial"/>
        </w:rPr>
      </w:pPr>
    </w:p>
    <w:p w:rsidR="00CD6A25" w:rsidRDefault="00000000">
      <w:pPr>
        <w:keepNext/>
        <w:widowControl w:val="0"/>
        <w:numPr>
          <w:ilvl w:val="0"/>
          <w:numId w:val="13"/>
        </w:numPr>
        <w:spacing w:after="0" w:line="240" w:lineRule="auto"/>
        <w:rPr>
          <w:rFonts w:cs="Arial"/>
        </w:rPr>
      </w:pPr>
      <w:r>
        <w:rPr>
          <w:rFonts w:cs="Arial"/>
        </w:rPr>
        <w:t>A description of the guidelines that will be used for resale or recapture of HOME funds when used for homebuyer activities as required in 92.254, is as follows:</w:t>
      </w:r>
      <w:r>
        <w:rPr>
          <w:i/>
        </w:rPr>
        <w:t xml:space="preserve"> </w:t>
      </w:r>
    </w:p>
    <w:p w:rsidR="00CD6A25" w:rsidRDefault="00000000">
      <w:pPr>
        <w:keepNext/>
        <w:widowControl w:val="0"/>
        <w:spacing w:beforeAutospacing="1" w:afterAutospacing="1"/>
        <w:ind w:left="360"/>
        <w:rPr>
          <w:rFonts w:cs="Arial"/>
        </w:rPr>
      </w:pPr>
      <w:r>
        <w:rPr>
          <w:rFonts w:cs="Arial"/>
        </w:rPr>
        <w:t>The City will fund homebuyer assistance under the Resale Guidelines using HOME funds during PY 2025. Resale Guidelines are attached in Appendix B due to space limitations.</w:t>
      </w:r>
    </w:p>
    <w:p w:rsidR="00CD6A25" w:rsidRDefault="00000000">
      <w:pPr>
        <w:keepNext/>
        <w:widowControl w:val="0"/>
        <w:spacing w:beforeAutospacing="1" w:afterAutospacing="1"/>
        <w:ind w:left="360"/>
        <w:rPr>
          <w:rFonts w:cs="Arial"/>
        </w:rPr>
      </w:pPr>
      <w:r>
        <w:rPr>
          <w:rFonts w:cs="Arial"/>
        </w:rPr>
        <w:t>The City does not have plans to fund homebuyer assistance programs using the Recapture guidelines during the Program Year. However, attached in Appendix B are the HUD approved Recapture Guidelines</w:t>
      </w:r>
    </w:p>
    <w:p w:rsidR="00CD6A25" w:rsidRDefault="00000000">
      <w:pPr>
        <w:keepNext/>
        <w:widowControl w:val="0"/>
        <w:spacing w:beforeAutospacing="1" w:afterAutospacing="1"/>
        <w:ind w:left="360"/>
        <w:rPr>
          <w:rFonts w:cs="Arial"/>
        </w:rPr>
      </w:pPr>
      <w:r>
        <w:rPr>
          <w:rFonts w:cs="Arial"/>
        </w:rPr>
        <w:t>If the City uses HOME funds for homebuyer assistance or for the rehabilitation of owner-occupied single-family housing the City will use the HOME Income limits for the area provided by HUD.</w:t>
      </w:r>
    </w:p>
    <w:p w:rsidR="00CD6A25" w:rsidRDefault="00CD6A25">
      <w:pPr>
        <w:spacing w:after="0" w:line="240" w:lineRule="auto"/>
        <w:rPr>
          <w:rFonts w:cs="Arial"/>
        </w:rPr>
      </w:pPr>
    </w:p>
    <w:p w:rsidR="00CD6A25" w:rsidRDefault="00000000">
      <w:pPr>
        <w:keepNext/>
        <w:widowControl w:val="0"/>
        <w:numPr>
          <w:ilvl w:val="0"/>
          <w:numId w:val="13"/>
        </w:numPr>
        <w:spacing w:after="0" w:line="240" w:lineRule="auto"/>
        <w:rPr>
          <w:rFonts w:cs="Arial"/>
        </w:rPr>
      </w:pPr>
      <w:r>
        <w:rPr>
          <w:rFonts w:cs="Arial"/>
        </w:rPr>
        <w:t>A description of the guidelines for resale or recapture that ensures the affordability of units acquired with HOME funds? See 24 CFR 92.254(a)(4) are as follows:</w:t>
      </w:r>
      <w:r>
        <w:rPr>
          <w:i/>
        </w:rPr>
        <w:t xml:space="preserve"> </w:t>
      </w:r>
    </w:p>
    <w:p w:rsidR="00CD6A25" w:rsidRDefault="00000000">
      <w:pPr>
        <w:keepNext/>
        <w:widowControl w:val="0"/>
        <w:spacing w:beforeAutospacing="1" w:afterAutospacing="1"/>
        <w:ind w:left="360"/>
        <w:rPr>
          <w:rFonts w:cs="Arial"/>
        </w:rPr>
      </w:pPr>
      <w:r>
        <w:rPr>
          <w:rFonts w:cs="Arial"/>
        </w:rPr>
        <w:t>In Program Year 2025, the City will provide HOME funds to individuals for the purchase of a home on Sawmill Community Land Trust. These funds will be subject to the Resale guidelines to ensure affordability.</w:t>
      </w:r>
    </w:p>
    <w:p w:rsidR="00CD6A25" w:rsidRDefault="00CD6A25">
      <w:pPr>
        <w:spacing w:after="0" w:line="240" w:lineRule="auto"/>
        <w:rPr>
          <w:rFonts w:cs="Arial"/>
        </w:rPr>
      </w:pPr>
    </w:p>
    <w:p w:rsidR="00CD6A25" w:rsidRDefault="00000000">
      <w:pPr>
        <w:keepNext/>
        <w:widowControl w:val="0"/>
        <w:numPr>
          <w:ilvl w:val="0"/>
          <w:numId w:val="13"/>
        </w:numPr>
        <w:spacing w:after="0" w:line="240" w:lineRule="auto"/>
        <w:rPr>
          <w:rFonts w:cs="Arial"/>
        </w:rPr>
      </w:pPr>
      <w:r>
        <w:rPr>
          <w:rFonts w:cs="Arial"/>
        </w:rPr>
        <w:lastRenderedPageBreak/>
        <w:t>Plans for using HOME funds to refinance existing debt secured by multifamily housing that is rehabilitated with HOME funds along with a description of the refinancing guidelines required that will be used under 24 CFR 92.206(b), are as follows:</w:t>
      </w:r>
      <w:r>
        <w:rPr>
          <w:i/>
        </w:rPr>
        <w:t xml:space="preserve"> </w:t>
      </w:r>
    </w:p>
    <w:p w:rsidR="00CD6A25" w:rsidRDefault="00000000">
      <w:pPr>
        <w:keepNext/>
        <w:widowControl w:val="0"/>
        <w:spacing w:beforeAutospacing="1" w:afterAutospacing="1"/>
        <w:ind w:left="360"/>
        <w:rPr>
          <w:rFonts w:cs="Arial"/>
        </w:rPr>
      </w:pPr>
      <w:r>
        <w:rPr>
          <w:rFonts w:cs="Arial"/>
        </w:rPr>
        <w:t>During the 2025 Program Year, the City will not use HOME funds to refinance existing debt secured by multifamily housing that is rehabilitated with HOME funds.</w:t>
      </w:r>
    </w:p>
    <w:p w:rsidR="00CD6A25" w:rsidRDefault="00CD6A25">
      <w:pPr>
        <w:keepNext/>
        <w:widowControl w:val="0"/>
        <w:spacing w:after="0" w:line="240" w:lineRule="auto"/>
        <w:ind w:left="360"/>
        <w:rPr>
          <w:rFonts w:cs="Arial"/>
        </w:rPr>
      </w:pPr>
    </w:p>
    <w:p w:rsidR="00CD6A25" w:rsidRDefault="00000000">
      <w:pPr>
        <w:keepNext/>
        <w:widowControl w:val="0"/>
        <w:numPr>
          <w:ilvl w:val="0"/>
          <w:numId w:val="13"/>
        </w:numPr>
        <w:spacing w:after="0" w:line="240" w:lineRule="auto"/>
        <w:rPr>
          <w:rFonts w:cs="Arial"/>
        </w:rPr>
      </w:pPr>
      <w:r>
        <w:rPr>
          <w:rFonts w:cs="Arial"/>
        </w:rPr>
        <w:t>If applicable to a planned HOME TBRA activity, a description of the preference for persons with special needs or disabilities. (See 24 CFR 92.209(c)(2)(</w:t>
      </w:r>
      <w:proofErr w:type="spellStart"/>
      <w:r>
        <w:rPr>
          <w:rFonts w:cs="Arial"/>
        </w:rPr>
        <w:t>i</w:t>
      </w:r>
      <w:proofErr w:type="spellEnd"/>
      <w:r>
        <w:rPr>
          <w:rFonts w:cs="Arial"/>
        </w:rPr>
        <w:t>) and CFR 91.220(l)(2)(vii)).</w:t>
      </w:r>
    </w:p>
    <w:p w:rsidR="00CD6A25" w:rsidRDefault="00000000">
      <w:pPr>
        <w:keepNext/>
        <w:widowControl w:val="0"/>
        <w:spacing w:beforeAutospacing="1" w:afterAutospacing="1"/>
        <w:ind w:left="360"/>
        <w:rPr>
          <w:rFonts w:cs="Arial"/>
        </w:rPr>
      </w:pPr>
      <w:r>
        <w:rPr>
          <w:rFonts w:cs="Arial"/>
        </w:rPr>
        <w:t xml:space="preserve">The </w:t>
      </w:r>
      <w:proofErr w:type="gramStart"/>
      <w:r>
        <w:rPr>
          <w:rFonts w:cs="Arial"/>
        </w:rPr>
        <w:t>City</w:t>
      </w:r>
      <w:proofErr w:type="gramEnd"/>
      <w:r>
        <w:rPr>
          <w:rFonts w:cs="Arial"/>
        </w:rPr>
        <w:t xml:space="preserve"> will provide funding for a TBRA program in an effort to prevent homelessness amongst at-risk (special needs) populations, which includes victims of domestic violence, persons with disabilities, persons with mental health and/or substance abuse disorders, and persons experiencing homelessness and/or at-risk of becoming homeless.</w:t>
      </w:r>
    </w:p>
    <w:p w:rsidR="00CD6A25" w:rsidRDefault="00CD6A25">
      <w:pPr>
        <w:spacing w:after="0" w:line="240" w:lineRule="auto"/>
        <w:ind w:left="360"/>
        <w:rPr>
          <w:rFonts w:cs="Arial"/>
        </w:rPr>
      </w:pPr>
    </w:p>
    <w:p w:rsidR="00CD6A25" w:rsidRDefault="00000000">
      <w:pPr>
        <w:keepNext/>
        <w:widowControl w:val="0"/>
        <w:numPr>
          <w:ilvl w:val="0"/>
          <w:numId w:val="13"/>
        </w:numPr>
        <w:spacing w:after="0" w:line="240" w:lineRule="auto"/>
        <w:rPr>
          <w:rFonts w:cs="Arial"/>
        </w:rPr>
      </w:pPr>
      <w:r>
        <w:rPr>
          <w:rFonts w:cs="Arial"/>
        </w:rPr>
        <w:t>If applicable to a planned HOME TBRA activity, a description of how the preference for a specific category of individuals with disabilities (</w:t>
      </w:r>
      <w:proofErr w:type="gramStart"/>
      <w:r>
        <w:rPr>
          <w:rFonts w:cs="Arial"/>
        </w:rPr>
        <w:t>e.g.</w:t>
      </w:r>
      <w:proofErr w:type="gramEnd"/>
      <w:r>
        <w:rPr>
          <w:rFonts w:cs="Arial"/>
        </w:rPr>
        <w:t xml:space="preserve"> persons with HIV/AIDS or chronic mental illness) will narrow the gap in benefits and the preference is needed to narrow the gap in benefits and services received by such persons. (See 24 CFR 92.209(c)(2)(ii) and 91.220(l)(2)(vii)).</w:t>
      </w:r>
    </w:p>
    <w:p w:rsidR="00CD6A25" w:rsidRDefault="00000000">
      <w:pPr>
        <w:keepNext/>
        <w:widowControl w:val="0"/>
        <w:spacing w:beforeAutospacing="1" w:afterAutospacing="1"/>
        <w:ind w:left="360"/>
        <w:rPr>
          <w:rFonts w:cs="Arial"/>
        </w:rPr>
      </w:pPr>
      <w:r>
        <w:rPr>
          <w:rFonts w:cs="Arial"/>
        </w:rPr>
        <w:t>N/A</w:t>
      </w:r>
    </w:p>
    <w:p w:rsidR="00CD6A25" w:rsidRDefault="00CD6A25">
      <w:pPr>
        <w:spacing w:after="0" w:line="240" w:lineRule="auto"/>
        <w:ind w:left="360"/>
        <w:rPr>
          <w:rFonts w:cs="Arial"/>
        </w:rPr>
      </w:pPr>
    </w:p>
    <w:p w:rsidR="00CD6A25" w:rsidRDefault="00000000">
      <w:pPr>
        <w:keepNext/>
        <w:widowControl w:val="0"/>
        <w:numPr>
          <w:ilvl w:val="0"/>
          <w:numId w:val="13"/>
        </w:numPr>
        <w:spacing w:after="0" w:line="240" w:lineRule="auto"/>
        <w:rPr>
          <w:rFonts w:cs="Arial"/>
        </w:rPr>
      </w:pPr>
      <w:r>
        <w:rPr>
          <w:rFonts w:cs="Arial"/>
        </w:rPr>
        <w:t>If applicable, a description of any preference or limitation for rental housing projects. (See 24 CFR 92.253(d)(3) and CFR 91.220(l)(2)(vii)). Note: Preferences cannot be administered in a manner that limits the opportunities of persons on any basis prohibited by the laws listed under 24 CFR 5.105(a).</w:t>
      </w:r>
    </w:p>
    <w:p w:rsidR="00CD6A25" w:rsidRDefault="00000000">
      <w:pPr>
        <w:keepNext/>
        <w:widowControl w:val="0"/>
        <w:spacing w:beforeAutospacing="1" w:afterAutospacing="1"/>
        <w:ind w:left="360"/>
        <w:rPr>
          <w:rFonts w:cs="Arial"/>
        </w:rPr>
      </w:pPr>
      <w:r>
        <w:rPr>
          <w:rFonts w:cs="Arial"/>
        </w:rPr>
        <w:t>N/A</w:t>
      </w:r>
    </w:p>
    <w:p w:rsidR="00CD6A25" w:rsidRDefault="00CD6A25">
      <w:pPr>
        <w:spacing w:after="0" w:line="240" w:lineRule="auto"/>
        <w:ind w:left="360"/>
        <w:rPr>
          <w:rFonts w:cs="Arial"/>
        </w:rPr>
      </w:pPr>
    </w:p>
    <w:p w:rsidR="00CD6A25" w:rsidRDefault="00000000">
      <w:pPr>
        <w:keepNext/>
        <w:widowControl w:val="0"/>
        <w:spacing w:after="0" w:line="240" w:lineRule="auto"/>
        <w:jc w:val="center"/>
        <w:rPr>
          <w:rFonts w:cs="Arial"/>
          <w:b/>
          <w:i/>
          <w:sz w:val="24"/>
          <w:szCs w:val="24"/>
        </w:rPr>
      </w:pPr>
      <w:r>
        <w:rPr>
          <w:rFonts w:cs="Arial"/>
          <w:b/>
          <w:sz w:val="24"/>
          <w:szCs w:val="24"/>
        </w:rPr>
        <w:t>Emergency Solutions Grant (ESG)</w:t>
      </w:r>
      <w:r>
        <w:rPr>
          <w:i/>
        </w:rPr>
        <w:t xml:space="preserve"> </w:t>
      </w:r>
    </w:p>
    <w:p w:rsidR="00CD6A25" w:rsidRDefault="00000000">
      <w:pPr>
        <w:keepNext/>
        <w:widowControl w:val="0"/>
        <w:spacing w:after="0" w:line="240" w:lineRule="auto"/>
        <w:jc w:val="center"/>
        <w:rPr>
          <w:b/>
          <w:bCs/>
          <w:sz w:val="24"/>
          <w:szCs w:val="24"/>
        </w:rPr>
      </w:pPr>
      <w:r>
        <w:rPr>
          <w:rStyle w:val="Strong"/>
          <w:sz w:val="24"/>
          <w:szCs w:val="24"/>
        </w:rPr>
        <w:t xml:space="preserve">Reference 91.220(l)(4) </w:t>
      </w:r>
    </w:p>
    <w:p w:rsidR="00CD6A25" w:rsidRDefault="00CD6A25">
      <w:pPr>
        <w:keepNext/>
        <w:widowControl w:val="0"/>
        <w:spacing w:after="0" w:line="240" w:lineRule="auto"/>
        <w:jc w:val="center"/>
        <w:rPr>
          <w:rFonts w:cs="Arial"/>
          <w:b/>
          <w:sz w:val="24"/>
          <w:szCs w:val="24"/>
        </w:rPr>
      </w:pPr>
    </w:p>
    <w:p w:rsidR="00CD6A25" w:rsidRDefault="00000000">
      <w:pPr>
        <w:keepNext/>
        <w:widowControl w:val="0"/>
        <w:numPr>
          <w:ilvl w:val="0"/>
          <w:numId w:val="16"/>
        </w:numPr>
        <w:spacing w:after="0" w:line="240" w:lineRule="auto"/>
        <w:rPr>
          <w:rFonts w:cs="Arial"/>
        </w:rPr>
      </w:pPr>
      <w:r>
        <w:rPr>
          <w:sz w:val="24"/>
          <w:szCs w:val="24"/>
        </w:rPr>
        <w:t>Include written standards for providing ESG assistance (may include as attachment)</w:t>
      </w:r>
      <w:r>
        <w:rPr>
          <w:i/>
        </w:rPr>
        <w:t xml:space="preserve"> </w:t>
      </w:r>
    </w:p>
    <w:p w:rsidR="00CD6A25" w:rsidRDefault="00000000">
      <w:pPr>
        <w:keepNext/>
        <w:widowControl w:val="0"/>
        <w:spacing w:beforeAutospacing="1" w:afterAutospacing="1"/>
        <w:ind w:left="360"/>
        <w:rPr>
          <w:rFonts w:cs="Arial"/>
        </w:rPr>
      </w:pPr>
      <w:r>
        <w:rPr>
          <w:rFonts w:cs="Arial"/>
        </w:rPr>
        <w:t>The City and NMCEH updated administrative standards for ESG in September of 2023 which were subsequently approved by the Albuquerque Strategic Collaborative. Refer to Appendix B.</w:t>
      </w:r>
    </w:p>
    <w:p w:rsidR="00CD6A25" w:rsidRDefault="00000000">
      <w:pPr>
        <w:keepNext/>
        <w:widowControl w:val="0"/>
        <w:numPr>
          <w:ilvl w:val="0"/>
          <w:numId w:val="16"/>
        </w:numPr>
        <w:spacing w:after="0" w:line="240" w:lineRule="auto"/>
        <w:rPr>
          <w:rFonts w:cs="Arial"/>
        </w:rPr>
      </w:pPr>
      <w:r>
        <w:rPr>
          <w:sz w:val="24"/>
          <w:szCs w:val="24"/>
        </w:rPr>
        <w:t>If the Continuum of Care has established centralized or coordinated assessment system that meets HUD requirements, describe that centralized or coordinated assessment system.</w:t>
      </w:r>
      <w:r>
        <w:rPr>
          <w:i/>
        </w:rPr>
        <w:t xml:space="preserve"> </w:t>
      </w:r>
    </w:p>
    <w:p w:rsidR="00CD6A25" w:rsidRDefault="00000000">
      <w:pPr>
        <w:widowControl w:val="0"/>
        <w:spacing w:beforeAutospacing="1" w:afterAutospacing="1"/>
        <w:ind w:left="360"/>
        <w:rPr>
          <w:rFonts w:cs="Arial"/>
        </w:rPr>
      </w:pPr>
      <w:r>
        <w:rPr>
          <w:rFonts w:cs="Arial"/>
        </w:rPr>
        <w:t xml:space="preserve">The Albuquerque Continuum of Care and the Balance of State Continuum of Care (the rest of New </w:t>
      </w:r>
      <w:r>
        <w:rPr>
          <w:rFonts w:cs="Arial"/>
        </w:rPr>
        <w:lastRenderedPageBreak/>
        <w:t xml:space="preserve">Mexico) have developed a centralized or coordinated assessment system. The </w:t>
      </w:r>
      <w:proofErr w:type="gramStart"/>
      <w:r>
        <w:rPr>
          <w:rFonts w:cs="Arial"/>
        </w:rPr>
        <w:t>City</w:t>
      </w:r>
      <w:proofErr w:type="gramEnd"/>
      <w:r>
        <w:rPr>
          <w:rFonts w:cs="Arial"/>
        </w:rPr>
        <w:t xml:space="preserve"> will continue to collaborate with both Continuums of Care and the MFA in the implementation of the system. The VI-SPDAT (Vulnerability Index Service Prioritization Decision Assistance Tool) has been used for all City homeless housing programs since 2017.</w:t>
      </w:r>
    </w:p>
    <w:p w:rsidR="00CD6A25" w:rsidRDefault="00000000">
      <w:pPr>
        <w:keepNext/>
        <w:widowControl w:val="0"/>
        <w:numPr>
          <w:ilvl w:val="0"/>
          <w:numId w:val="16"/>
        </w:numPr>
        <w:spacing w:after="0" w:line="240" w:lineRule="auto"/>
        <w:rPr>
          <w:rFonts w:cs="Arial"/>
        </w:rPr>
      </w:pPr>
      <w:r>
        <w:rPr>
          <w:sz w:val="24"/>
          <w:szCs w:val="24"/>
        </w:rPr>
        <w:t>Identify the process for making sub-awards and describe how the ESG allocation available to private nonprofit organizations (including community and faith-based organizations).</w:t>
      </w:r>
      <w:r>
        <w:rPr>
          <w:i/>
        </w:rPr>
        <w:t xml:space="preserve"> </w:t>
      </w:r>
    </w:p>
    <w:p w:rsidR="00CD6A25" w:rsidRDefault="00000000">
      <w:pPr>
        <w:widowControl w:val="0"/>
        <w:spacing w:beforeAutospacing="1" w:afterAutospacing="1"/>
        <w:ind w:left="360"/>
        <w:rPr>
          <w:rFonts w:cs="Arial"/>
        </w:rPr>
      </w:pPr>
      <w:r>
        <w:rPr>
          <w:rFonts w:cs="Arial"/>
        </w:rPr>
        <w:t>In addition to the City’s “Standards for Providing Emergency Solutions Grant Assistance” that was approved by the Albuquerque Strategic Collaborative in September of 2023, the City’s Department of Health, Housing &amp; Homelessness, under the Purchasing Ordinances, is allowed to procure their own social services. The City’s ESG projects are considered social services. The procurement process is governed by the Social Services Contracts Procurement Rules and Regulations promulgated by the Department. According to the Department Procurement Guidelines, “An RFP is required for the procurement of Social Services unless exempted or an alternate competitive process applies.” Department staff review submitted offers to ensure technical compliance prior to review by the Ad Hoc Committee. An Ad Hoc Committee reviews the proposal. The Ad Hoc Committee consists of a minimum of three persons and is approved by the Department Director. Offers submitted in response to an RFP are reviewed, and scored by the committee, for areas stated in the RFP. The Ad Hoc Committee provides the Director with a recommendation of award. If the Director concurs with the Ad Hoc Committee recommendation, the Director notifies the Offeror in writing and instructs staff to begin contract negotiations. If the Director does not concur with the Ad Hoc Committee recommendations he/she may request reconsideration by the Ad Hoc Committee.</w:t>
      </w:r>
    </w:p>
    <w:p w:rsidR="00CD6A25" w:rsidRDefault="00000000">
      <w:pPr>
        <w:keepNext/>
        <w:widowControl w:val="0"/>
        <w:numPr>
          <w:ilvl w:val="0"/>
          <w:numId w:val="16"/>
        </w:numPr>
        <w:spacing w:after="0" w:line="240" w:lineRule="auto"/>
        <w:rPr>
          <w:rFonts w:cs="Arial"/>
        </w:rPr>
      </w:pPr>
      <w:r>
        <w:rPr>
          <w:sz w:val="24"/>
          <w:szCs w:val="24"/>
        </w:rPr>
        <w:t>If the jurisdiction is unable to meet the homeless participation requirement in 24 CFR 576.405(a), the jurisdiction must specify its plan for reaching out to and consulting with homeless or formerly homeless individuals in considering policies and funding decisions regarding facilities and services funded under ESG.</w:t>
      </w:r>
      <w:r>
        <w:rPr>
          <w:i/>
        </w:rPr>
        <w:t xml:space="preserve"> </w:t>
      </w:r>
    </w:p>
    <w:p w:rsidR="00CD6A25" w:rsidRDefault="00000000">
      <w:pPr>
        <w:widowControl w:val="0"/>
        <w:spacing w:beforeAutospacing="1" w:afterAutospacing="1"/>
        <w:ind w:left="360"/>
        <w:rPr>
          <w:rFonts w:cs="Arial"/>
        </w:rPr>
      </w:pPr>
      <w:r>
        <w:rPr>
          <w:rFonts w:cs="Arial"/>
        </w:rPr>
        <w:t xml:space="preserve">The </w:t>
      </w:r>
      <w:proofErr w:type="gramStart"/>
      <w:r>
        <w:rPr>
          <w:rFonts w:cs="Arial"/>
        </w:rPr>
        <w:t>City</w:t>
      </w:r>
      <w:proofErr w:type="gramEnd"/>
      <w:r>
        <w:rPr>
          <w:rFonts w:cs="Arial"/>
        </w:rPr>
        <w:t xml:space="preserve"> meets the homeless participation requirement in 24 CFR 576.405(a). The Albuquerque Strategic Collaborative, which serves as the Continuum of Care Steering Committee, has formerly homeless individual members who participate in policies and funding decisions regarding City programs and services funded under ESG.</w:t>
      </w:r>
    </w:p>
    <w:p w:rsidR="00CD6A25" w:rsidRDefault="00000000">
      <w:pPr>
        <w:keepNext/>
        <w:widowControl w:val="0"/>
        <w:numPr>
          <w:ilvl w:val="0"/>
          <w:numId w:val="16"/>
        </w:numPr>
        <w:spacing w:after="0" w:line="240" w:lineRule="auto"/>
        <w:rPr>
          <w:rFonts w:cs="Arial"/>
          <w:i/>
        </w:rPr>
      </w:pPr>
      <w:r>
        <w:rPr>
          <w:sz w:val="24"/>
          <w:szCs w:val="24"/>
        </w:rPr>
        <w:t>Describe performance standards for evaluating ESG.</w:t>
      </w:r>
      <w:r>
        <w:rPr>
          <w:i/>
        </w:rPr>
        <w:t xml:space="preserve"> </w:t>
      </w:r>
    </w:p>
    <w:p w:rsidR="00CD6A25" w:rsidRDefault="00000000">
      <w:pPr>
        <w:widowControl w:val="0"/>
        <w:spacing w:beforeAutospacing="1" w:afterAutospacing="1"/>
        <w:ind w:left="360"/>
        <w:rPr>
          <w:rFonts w:cs="Arial"/>
        </w:rPr>
      </w:pPr>
      <w:r>
        <w:rPr>
          <w:rFonts w:cs="Arial"/>
        </w:rPr>
        <w:t xml:space="preserve">The ESG programs follow the performance evaluation and monitoring standards described in the City’s Administrative Requirements and the City’s ESG Program Policies and Procedures. Programs funded with ESG are monitored a minimum of once a year. This includes the subrecipient’s compliance with ESG program and contractual requirements, compliance with the City’s administrative requirements, and compliance with Fiscal requirements. The </w:t>
      </w:r>
      <w:proofErr w:type="gramStart"/>
      <w:r>
        <w:rPr>
          <w:rFonts w:cs="Arial"/>
        </w:rPr>
        <w:t>City</w:t>
      </w:r>
      <w:proofErr w:type="gramEnd"/>
      <w:r>
        <w:rPr>
          <w:rFonts w:cs="Arial"/>
        </w:rPr>
        <w:t xml:space="preserve"> evaluates a subrecipient’s performance and progress in meeting contractual obligations at least quarterly by </w:t>
      </w:r>
      <w:r>
        <w:rPr>
          <w:rFonts w:cs="Arial"/>
        </w:rPr>
        <w:lastRenderedPageBreak/>
        <w:t>reviewing and evaluating quarterly reports. Additionally, the City monitors for compliance upon submission of reimbursement requests. </w:t>
      </w:r>
    </w:p>
    <w:p w:rsidR="00CD6A25" w:rsidRDefault="00CD6A25"/>
    <w:p w:rsidR="00CD6A25" w:rsidRDefault="00CD6A25">
      <w:pPr>
        <w:contextualSpacing/>
        <w:rPr>
          <w:b/>
          <w:color w:val="000000" w:themeColor="text1"/>
          <w:sz w:val="24"/>
          <w:szCs w:val="24"/>
        </w:rPr>
      </w:pPr>
    </w:p>
    <w:p w:rsidR="00CD6A25" w:rsidRDefault="00000000">
      <w:pPr>
        <w:spacing w:beforeAutospacing="1" w:afterAutospacing="1"/>
        <w:rPr>
          <w:rFonts w:cs="Arial"/>
        </w:rPr>
      </w:pPr>
      <w:r>
        <w:rPr>
          <w:rFonts w:cs="Arial"/>
        </w:rPr>
        <w:t xml:space="preserve">The </w:t>
      </w:r>
      <w:proofErr w:type="gramStart"/>
      <w:r>
        <w:rPr>
          <w:rFonts w:cs="Arial"/>
        </w:rPr>
        <w:t>City</w:t>
      </w:r>
      <w:proofErr w:type="gramEnd"/>
      <w:r>
        <w:rPr>
          <w:rFonts w:cs="Arial"/>
        </w:rPr>
        <w:t xml:space="preserve"> will continue to utilize these standards during Program Year 2025.</w:t>
      </w:r>
    </w:p>
    <w:p w:rsidR="00CD6A25" w:rsidRDefault="00000000">
      <w:pPr>
        <w:spacing w:after="0" w:line="240" w:lineRule="auto"/>
      </w:pPr>
      <w:r>
        <w:br w:type="page"/>
      </w:r>
    </w:p>
    <w:sectPr w:rsidR="00CD6A25">
      <w:headerReference w:type="even" r:id="rId15"/>
      <w:headerReference w:type="default" r:id="rId16"/>
      <w:footerReference w:type="even"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0FDD" w:rsidRDefault="00750FDD">
      <w:r>
        <w:separator/>
      </w:r>
    </w:p>
  </w:endnote>
  <w:endnote w:type="continuationSeparator" w:id="0">
    <w:p w:rsidR="00750FDD" w:rsidRDefault="0075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6A25" w:rsidRDefault="00CD6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1E0" w:firstRow="1" w:lastRow="1" w:firstColumn="1" w:lastColumn="1" w:noHBand="0" w:noVBand="0"/>
    </w:tblPr>
    <w:tblGrid>
      <w:gridCol w:w="828"/>
      <w:gridCol w:w="7976"/>
      <w:gridCol w:w="772"/>
    </w:tblGrid>
    <w:tr w:rsidR="00CD6A25">
      <w:trPr>
        <w:jc w:val="center"/>
      </w:trPr>
      <w:tc>
        <w:tcPr>
          <w:tcW w:w="828" w:type="dxa"/>
        </w:tcPr>
        <w:p w:rsidR="00CD6A25" w:rsidRDefault="00CD6A25">
          <w:pPr>
            <w:pStyle w:val="Footer"/>
            <w:spacing w:after="0" w:line="240" w:lineRule="auto"/>
            <w:jc w:val="center"/>
          </w:pPr>
        </w:p>
      </w:tc>
      <w:tc>
        <w:tcPr>
          <w:tcW w:w="7976" w:type="dxa"/>
        </w:tcPr>
        <w:p w:rsidR="00CD6A25" w:rsidRDefault="00000000">
          <w:pPr>
            <w:pStyle w:val="Footer"/>
            <w:spacing w:after="0" w:line="240" w:lineRule="auto"/>
            <w:jc w:val="center"/>
          </w:pPr>
          <w:r>
            <w:t>Annual Action Plan</w:t>
          </w:r>
        </w:p>
        <w:p w:rsidR="00CD6A25" w:rsidRDefault="00000000">
          <w:pPr>
            <w:pStyle w:val="Footer"/>
            <w:spacing w:after="0" w:line="240" w:lineRule="auto"/>
            <w:jc w:val="center"/>
            <w:rPr>
              <w:rFonts w:cs="Arial"/>
            </w:rPr>
          </w:pPr>
          <w:r>
            <w:t>2025</w:t>
          </w:r>
        </w:p>
      </w:tc>
      <w:tc>
        <w:tcPr>
          <w:tcW w:w="772" w:type="dxa"/>
        </w:tcPr>
        <w:p w:rsidR="00CD6A25" w:rsidRDefault="00000000">
          <w:pPr>
            <w:pStyle w:val="Footer"/>
            <w:spacing w:after="0" w:line="240" w:lineRule="auto"/>
            <w:jc w:val="right"/>
          </w:pPr>
          <w:r>
            <w:fldChar w:fldCharType="begin"/>
          </w:r>
          <w:r>
            <w:instrText>page</w:instrText>
          </w:r>
          <w:r>
            <w:fldChar w:fldCharType="separate"/>
          </w:r>
          <w:r>
            <w:t>1</w:t>
          </w:r>
          <w:r>
            <w:fldChar w:fldCharType="end"/>
          </w:r>
        </w:p>
      </w:tc>
    </w:tr>
  </w:tbl>
  <w:p w:rsidR="00CD6A25" w:rsidRDefault="00000000">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6A25" w:rsidRDefault="00CD6A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1E0" w:firstRow="1" w:lastRow="1" w:firstColumn="1" w:lastColumn="1" w:noHBand="0" w:noVBand="0"/>
    </w:tblPr>
    <w:tblGrid>
      <w:gridCol w:w="828"/>
      <w:gridCol w:w="7976"/>
      <w:gridCol w:w="772"/>
    </w:tblGrid>
    <w:tr w:rsidR="00CD6A25">
      <w:trPr>
        <w:jc w:val="center"/>
      </w:trPr>
      <w:tc>
        <w:tcPr>
          <w:tcW w:w="828" w:type="dxa"/>
        </w:tcPr>
        <w:p w:rsidR="00CD6A25" w:rsidRDefault="00CD6A25">
          <w:pPr>
            <w:pStyle w:val="Footer"/>
            <w:spacing w:after="0" w:line="240" w:lineRule="auto"/>
            <w:jc w:val="center"/>
          </w:pPr>
        </w:p>
      </w:tc>
      <w:tc>
        <w:tcPr>
          <w:tcW w:w="7976" w:type="dxa"/>
        </w:tcPr>
        <w:p w:rsidR="00CD6A25" w:rsidRDefault="00000000">
          <w:pPr>
            <w:pStyle w:val="Footer"/>
            <w:spacing w:after="0" w:line="240" w:lineRule="auto"/>
            <w:jc w:val="center"/>
          </w:pPr>
          <w:r>
            <w:t>Annual Action Plan</w:t>
          </w:r>
        </w:p>
        <w:p w:rsidR="00CD6A25" w:rsidRDefault="00000000">
          <w:pPr>
            <w:pStyle w:val="Footer"/>
            <w:spacing w:after="0" w:line="240" w:lineRule="auto"/>
            <w:jc w:val="center"/>
            <w:rPr>
              <w:rFonts w:cs="Arial"/>
            </w:rPr>
          </w:pPr>
          <w:r>
            <w:t>2025</w:t>
          </w:r>
        </w:p>
      </w:tc>
      <w:tc>
        <w:tcPr>
          <w:tcW w:w="772" w:type="dxa"/>
        </w:tcPr>
        <w:p w:rsidR="00CD6A25" w:rsidRDefault="00000000">
          <w:pPr>
            <w:pStyle w:val="Footer"/>
            <w:spacing w:after="0" w:line="240" w:lineRule="auto"/>
            <w:jc w:val="right"/>
          </w:pPr>
          <w:r>
            <w:fldChar w:fldCharType="begin"/>
          </w:r>
          <w:r>
            <w:instrText>page</w:instrText>
          </w:r>
          <w:r>
            <w:fldChar w:fldCharType="separate"/>
          </w:r>
          <w:r>
            <w:t>21</w:t>
          </w:r>
          <w:r>
            <w:fldChar w:fldCharType="end"/>
          </w:r>
        </w:p>
      </w:tc>
    </w:tr>
  </w:tbl>
  <w:p w:rsidR="00CD6A25" w:rsidRDefault="00000000">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6A25" w:rsidRDefault="00CD6A2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6A25" w:rsidRDefault="00CD6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0FDD" w:rsidRDefault="00750FDD">
      <w:r>
        <w:separator/>
      </w:r>
    </w:p>
  </w:footnote>
  <w:footnote w:type="continuationSeparator" w:id="0">
    <w:p w:rsidR="00750FDD" w:rsidRDefault="00750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6A25" w:rsidRDefault="00CD6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6A25" w:rsidRDefault="00CD6A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6A25" w:rsidRDefault="00CD6A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6A25" w:rsidRDefault="00CD6A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6A25" w:rsidRDefault="00CD6A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6A25" w:rsidRDefault="00CD6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760983004">
    <w:abstractNumId w:val="11"/>
  </w:num>
  <w:num w:numId="2" w16cid:durableId="819690683">
    <w:abstractNumId w:val="9"/>
  </w:num>
  <w:num w:numId="3" w16cid:durableId="1015810674">
    <w:abstractNumId w:val="7"/>
  </w:num>
  <w:num w:numId="4" w16cid:durableId="1810129203">
    <w:abstractNumId w:val="6"/>
  </w:num>
  <w:num w:numId="5" w16cid:durableId="2029989948">
    <w:abstractNumId w:val="5"/>
  </w:num>
  <w:num w:numId="6" w16cid:durableId="604458694">
    <w:abstractNumId w:val="4"/>
  </w:num>
  <w:num w:numId="7" w16cid:durableId="1984649969">
    <w:abstractNumId w:val="8"/>
  </w:num>
  <w:num w:numId="8" w16cid:durableId="1160005779">
    <w:abstractNumId w:val="3"/>
  </w:num>
  <w:num w:numId="9" w16cid:durableId="1188373338">
    <w:abstractNumId w:val="2"/>
  </w:num>
  <w:num w:numId="10" w16cid:durableId="1281064115">
    <w:abstractNumId w:val="1"/>
  </w:num>
  <w:num w:numId="11" w16cid:durableId="1540704940">
    <w:abstractNumId w:val="0"/>
  </w:num>
  <w:num w:numId="12" w16cid:durableId="1848209999">
    <w:abstractNumId w:val="10"/>
  </w:num>
  <w:num w:numId="13" w16cid:durableId="661082380">
    <w:abstractNumId w:val="17"/>
  </w:num>
  <w:num w:numId="14" w16cid:durableId="305209158">
    <w:abstractNumId w:val="15"/>
  </w:num>
  <w:num w:numId="15" w16cid:durableId="2005082391">
    <w:abstractNumId w:val="14"/>
  </w:num>
  <w:num w:numId="16" w16cid:durableId="1842500214">
    <w:abstractNumId w:val="16"/>
  </w:num>
  <w:num w:numId="17" w16cid:durableId="448822893">
    <w:abstractNumId w:val="12"/>
  </w:num>
  <w:num w:numId="18" w16cid:durableId="96024221">
    <w:abstractNumId w:val="13"/>
  </w:num>
  <w:num w:numId="19" w16cid:durableId="147944759">
    <w:abstractNumId w:val="3"/>
    <w:lvlOverride w:ilvl="0">
      <w:startOverride w:val="1"/>
    </w:lvlOverride>
  </w:num>
  <w:num w:numId="20" w16cid:durableId="3586190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EC6"/>
    <w:rsid w:val="00001671"/>
    <w:rsid w:val="000029F4"/>
    <w:rsid w:val="00004F01"/>
    <w:rsid w:val="000079B1"/>
    <w:rsid w:val="000101FE"/>
    <w:rsid w:val="000116B2"/>
    <w:rsid w:val="000153F6"/>
    <w:rsid w:val="0001643E"/>
    <w:rsid w:val="000202EB"/>
    <w:rsid w:val="000204C7"/>
    <w:rsid w:val="00022CF5"/>
    <w:rsid w:val="00024F61"/>
    <w:rsid w:val="0002521E"/>
    <w:rsid w:val="00026149"/>
    <w:rsid w:val="00027899"/>
    <w:rsid w:val="00032C1E"/>
    <w:rsid w:val="0003300B"/>
    <w:rsid w:val="000338FC"/>
    <w:rsid w:val="00034405"/>
    <w:rsid w:val="0003459B"/>
    <w:rsid w:val="00035628"/>
    <w:rsid w:val="000357CA"/>
    <w:rsid w:val="00035F04"/>
    <w:rsid w:val="00042C4D"/>
    <w:rsid w:val="00043B67"/>
    <w:rsid w:val="00044565"/>
    <w:rsid w:val="00047E3E"/>
    <w:rsid w:val="000518AA"/>
    <w:rsid w:val="00052114"/>
    <w:rsid w:val="00053E62"/>
    <w:rsid w:val="00054780"/>
    <w:rsid w:val="00054B4F"/>
    <w:rsid w:val="00056828"/>
    <w:rsid w:val="00057E29"/>
    <w:rsid w:val="00060639"/>
    <w:rsid w:val="00060CE4"/>
    <w:rsid w:val="00061845"/>
    <w:rsid w:val="00061B37"/>
    <w:rsid w:val="00061E41"/>
    <w:rsid w:val="000620FD"/>
    <w:rsid w:val="000661A8"/>
    <w:rsid w:val="00066370"/>
    <w:rsid w:val="000670CF"/>
    <w:rsid w:val="00067FD4"/>
    <w:rsid w:val="00070633"/>
    <w:rsid w:val="000717E5"/>
    <w:rsid w:val="00071F05"/>
    <w:rsid w:val="00072C8A"/>
    <w:rsid w:val="00072F46"/>
    <w:rsid w:val="000734F6"/>
    <w:rsid w:val="00075AB2"/>
    <w:rsid w:val="0007671E"/>
    <w:rsid w:val="00077F16"/>
    <w:rsid w:val="00080209"/>
    <w:rsid w:val="0008068E"/>
    <w:rsid w:val="00080943"/>
    <w:rsid w:val="00080ECB"/>
    <w:rsid w:val="00081136"/>
    <w:rsid w:val="000825DF"/>
    <w:rsid w:val="000831B8"/>
    <w:rsid w:val="00083B49"/>
    <w:rsid w:val="00083BEB"/>
    <w:rsid w:val="0008420F"/>
    <w:rsid w:val="00084E02"/>
    <w:rsid w:val="00085ECE"/>
    <w:rsid w:val="0008764E"/>
    <w:rsid w:val="00087BEC"/>
    <w:rsid w:val="00091139"/>
    <w:rsid w:val="000918AD"/>
    <w:rsid w:val="00093BF8"/>
    <w:rsid w:val="0009415B"/>
    <w:rsid w:val="0009419B"/>
    <w:rsid w:val="00096632"/>
    <w:rsid w:val="00096BAB"/>
    <w:rsid w:val="00096FE3"/>
    <w:rsid w:val="00097155"/>
    <w:rsid w:val="000975D9"/>
    <w:rsid w:val="000A3328"/>
    <w:rsid w:val="000A3869"/>
    <w:rsid w:val="000A3AF5"/>
    <w:rsid w:val="000A6604"/>
    <w:rsid w:val="000A7EB6"/>
    <w:rsid w:val="000B0148"/>
    <w:rsid w:val="000B291F"/>
    <w:rsid w:val="000B45BD"/>
    <w:rsid w:val="000B5D24"/>
    <w:rsid w:val="000B7A3C"/>
    <w:rsid w:val="000C0752"/>
    <w:rsid w:val="000C0905"/>
    <w:rsid w:val="000C20FC"/>
    <w:rsid w:val="000C265E"/>
    <w:rsid w:val="000C3ACA"/>
    <w:rsid w:val="000C4F98"/>
    <w:rsid w:val="000C666E"/>
    <w:rsid w:val="000C74F3"/>
    <w:rsid w:val="000D2573"/>
    <w:rsid w:val="000D422A"/>
    <w:rsid w:val="000D488E"/>
    <w:rsid w:val="000D4D7D"/>
    <w:rsid w:val="000D7D16"/>
    <w:rsid w:val="000E0343"/>
    <w:rsid w:val="000E0D5D"/>
    <w:rsid w:val="000E13BA"/>
    <w:rsid w:val="000E1DFB"/>
    <w:rsid w:val="000E1F9B"/>
    <w:rsid w:val="000E319C"/>
    <w:rsid w:val="000E3358"/>
    <w:rsid w:val="000E34C4"/>
    <w:rsid w:val="000E4A11"/>
    <w:rsid w:val="000E5032"/>
    <w:rsid w:val="000E53D6"/>
    <w:rsid w:val="000E5FBD"/>
    <w:rsid w:val="000E6121"/>
    <w:rsid w:val="000E640E"/>
    <w:rsid w:val="000E6B9A"/>
    <w:rsid w:val="000E6CB6"/>
    <w:rsid w:val="000F04AF"/>
    <w:rsid w:val="000F1DD7"/>
    <w:rsid w:val="000F21DE"/>
    <w:rsid w:val="000F6B53"/>
    <w:rsid w:val="000F7A05"/>
    <w:rsid w:val="00101E3D"/>
    <w:rsid w:val="00102442"/>
    <w:rsid w:val="0010332E"/>
    <w:rsid w:val="0010487A"/>
    <w:rsid w:val="00106CAB"/>
    <w:rsid w:val="0010757C"/>
    <w:rsid w:val="001105E4"/>
    <w:rsid w:val="001121F8"/>
    <w:rsid w:val="00112F30"/>
    <w:rsid w:val="00114CA6"/>
    <w:rsid w:val="00115066"/>
    <w:rsid w:val="00117AB9"/>
    <w:rsid w:val="00117CAF"/>
    <w:rsid w:val="00120904"/>
    <w:rsid w:val="00121945"/>
    <w:rsid w:val="00123B67"/>
    <w:rsid w:val="00124E85"/>
    <w:rsid w:val="00125428"/>
    <w:rsid w:val="001256B0"/>
    <w:rsid w:val="00125FCA"/>
    <w:rsid w:val="001261A0"/>
    <w:rsid w:val="00132B0C"/>
    <w:rsid w:val="00132CEA"/>
    <w:rsid w:val="0013364B"/>
    <w:rsid w:val="00134B79"/>
    <w:rsid w:val="0013545A"/>
    <w:rsid w:val="00135B76"/>
    <w:rsid w:val="00135EA7"/>
    <w:rsid w:val="00136724"/>
    <w:rsid w:val="00140088"/>
    <w:rsid w:val="00141F8B"/>
    <w:rsid w:val="001442FB"/>
    <w:rsid w:val="001460FB"/>
    <w:rsid w:val="00150B00"/>
    <w:rsid w:val="00151FDE"/>
    <w:rsid w:val="00152247"/>
    <w:rsid w:val="001539D4"/>
    <w:rsid w:val="00156045"/>
    <w:rsid w:val="00156205"/>
    <w:rsid w:val="00157D8A"/>
    <w:rsid w:val="0016089C"/>
    <w:rsid w:val="00160AC1"/>
    <w:rsid w:val="0016267E"/>
    <w:rsid w:val="00162A99"/>
    <w:rsid w:val="00163BA8"/>
    <w:rsid w:val="00164969"/>
    <w:rsid w:val="00165B3F"/>
    <w:rsid w:val="00166377"/>
    <w:rsid w:val="001703C2"/>
    <w:rsid w:val="0017195A"/>
    <w:rsid w:val="001728FD"/>
    <w:rsid w:val="00172D3C"/>
    <w:rsid w:val="0017391B"/>
    <w:rsid w:val="00175A92"/>
    <w:rsid w:val="00176F2C"/>
    <w:rsid w:val="0017730C"/>
    <w:rsid w:val="00177DEF"/>
    <w:rsid w:val="00180218"/>
    <w:rsid w:val="00180753"/>
    <w:rsid w:val="00180E8A"/>
    <w:rsid w:val="00181247"/>
    <w:rsid w:val="00181253"/>
    <w:rsid w:val="00182A06"/>
    <w:rsid w:val="0018383F"/>
    <w:rsid w:val="00184182"/>
    <w:rsid w:val="00184AE8"/>
    <w:rsid w:val="00184B7E"/>
    <w:rsid w:val="00184CFB"/>
    <w:rsid w:val="00184F71"/>
    <w:rsid w:val="00186776"/>
    <w:rsid w:val="00190078"/>
    <w:rsid w:val="00192527"/>
    <w:rsid w:val="00192E4D"/>
    <w:rsid w:val="00193AC8"/>
    <w:rsid w:val="00193AF0"/>
    <w:rsid w:val="00194CDA"/>
    <w:rsid w:val="00194DE6"/>
    <w:rsid w:val="00195D5C"/>
    <w:rsid w:val="00197A7A"/>
    <w:rsid w:val="001A0074"/>
    <w:rsid w:val="001A0F7B"/>
    <w:rsid w:val="001A1131"/>
    <w:rsid w:val="001A226D"/>
    <w:rsid w:val="001A6644"/>
    <w:rsid w:val="001A6F81"/>
    <w:rsid w:val="001A781C"/>
    <w:rsid w:val="001A7953"/>
    <w:rsid w:val="001A7F28"/>
    <w:rsid w:val="001B5AF8"/>
    <w:rsid w:val="001B6520"/>
    <w:rsid w:val="001B6936"/>
    <w:rsid w:val="001B75E2"/>
    <w:rsid w:val="001B7DB9"/>
    <w:rsid w:val="001C2692"/>
    <w:rsid w:val="001C3C19"/>
    <w:rsid w:val="001C40DA"/>
    <w:rsid w:val="001C4867"/>
    <w:rsid w:val="001C516A"/>
    <w:rsid w:val="001C5C58"/>
    <w:rsid w:val="001C61C3"/>
    <w:rsid w:val="001C696A"/>
    <w:rsid w:val="001C6F4A"/>
    <w:rsid w:val="001D0384"/>
    <w:rsid w:val="001D20E3"/>
    <w:rsid w:val="001D2586"/>
    <w:rsid w:val="001D269C"/>
    <w:rsid w:val="001D285F"/>
    <w:rsid w:val="001D5457"/>
    <w:rsid w:val="001D6AF5"/>
    <w:rsid w:val="001D6ECF"/>
    <w:rsid w:val="001D78ED"/>
    <w:rsid w:val="001D7E43"/>
    <w:rsid w:val="001E1072"/>
    <w:rsid w:val="001E325A"/>
    <w:rsid w:val="001E3AA1"/>
    <w:rsid w:val="001E3EA8"/>
    <w:rsid w:val="001E551F"/>
    <w:rsid w:val="001E6E6E"/>
    <w:rsid w:val="001E763D"/>
    <w:rsid w:val="001E7D42"/>
    <w:rsid w:val="001F1BE7"/>
    <w:rsid w:val="001F3116"/>
    <w:rsid w:val="001F3C7D"/>
    <w:rsid w:val="001F4E2A"/>
    <w:rsid w:val="001F68DE"/>
    <w:rsid w:val="001F6B14"/>
    <w:rsid w:val="00204E13"/>
    <w:rsid w:val="00205644"/>
    <w:rsid w:val="00205CCE"/>
    <w:rsid w:val="00206DAD"/>
    <w:rsid w:val="00207A05"/>
    <w:rsid w:val="00212E96"/>
    <w:rsid w:val="002130D9"/>
    <w:rsid w:val="002137A1"/>
    <w:rsid w:val="00214170"/>
    <w:rsid w:val="002144A6"/>
    <w:rsid w:val="00215FFC"/>
    <w:rsid w:val="00216A02"/>
    <w:rsid w:val="0021781D"/>
    <w:rsid w:val="00217B66"/>
    <w:rsid w:val="00217EA0"/>
    <w:rsid w:val="00220C8E"/>
    <w:rsid w:val="00221262"/>
    <w:rsid w:val="00221D81"/>
    <w:rsid w:val="00224031"/>
    <w:rsid w:val="00224741"/>
    <w:rsid w:val="00224CD2"/>
    <w:rsid w:val="002266F1"/>
    <w:rsid w:val="00226B59"/>
    <w:rsid w:val="002311BD"/>
    <w:rsid w:val="002323D0"/>
    <w:rsid w:val="0023315D"/>
    <w:rsid w:val="00233524"/>
    <w:rsid w:val="00233956"/>
    <w:rsid w:val="00233ACF"/>
    <w:rsid w:val="002346CD"/>
    <w:rsid w:val="00234918"/>
    <w:rsid w:val="00236F35"/>
    <w:rsid w:val="00236F9D"/>
    <w:rsid w:val="00240AEF"/>
    <w:rsid w:val="0024397D"/>
    <w:rsid w:val="00243E3D"/>
    <w:rsid w:val="00244EDB"/>
    <w:rsid w:val="00247E65"/>
    <w:rsid w:val="0025305C"/>
    <w:rsid w:val="00254774"/>
    <w:rsid w:val="0025577D"/>
    <w:rsid w:val="00255CB4"/>
    <w:rsid w:val="0025607E"/>
    <w:rsid w:val="00256481"/>
    <w:rsid w:val="00261EA3"/>
    <w:rsid w:val="00263B09"/>
    <w:rsid w:val="00263CA8"/>
    <w:rsid w:val="002643F3"/>
    <w:rsid w:val="0026448F"/>
    <w:rsid w:val="002660BC"/>
    <w:rsid w:val="00267042"/>
    <w:rsid w:val="00267FE2"/>
    <w:rsid w:val="0027020F"/>
    <w:rsid w:val="002707F7"/>
    <w:rsid w:val="00270B46"/>
    <w:rsid w:val="00271E3A"/>
    <w:rsid w:val="002721FA"/>
    <w:rsid w:val="00272E1D"/>
    <w:rsid w:val="00275F5E"/>
    <w:rsid w:val="002764CB"/>
    <w:rsid w:val="0027673E"/>
    <w:rsid w:val="00277A52"/>
    <w:rsid w:val="00280459"/>
    <w:rsid w:val="00281E9A"/>
    <w:rsid w:val="00283CA8"/>
    <w:rsid w:val="00284AD9"/>
    <w:rsid w:val="00284E5C"/>
    <w:rsid w:val="00285752"/>
    <w:rsid w:val="002905D8"/>
    <w:rsid w:val="00292ECE"/>
    <w:rsid w:val="00294B1B"/>
    <w:rsid w:val="00294CA9"/>
    <w:rsid w:val="00295998"/>
    <w:rsid w:val="002969C3"/>
    <w:rsid w:val="00296FD9"/>
    <w:rsid w:val="002A2068"/>
    <w:rsid w:val="002A206F"/>
    <w:rsid w:val="002A2980"/>
    <w:rsid w:val="002A4896"/>
    <w:rsid w:val="002A49B8"/>
    <w:rsid w:val="002A4E8C"/>
    <w:rsid w:val="002A5179"/>
    <w:rsid w:val="002A57D8"/>
    <w:rsid w:val="002A5D07"/>
    <w:rsid w:val="002B306F"/>
    <w:rsid w:val="002B5274"/>
    <w:rsid w:val="002C12CE"/>
    <w:rsid w:val="002C155C"/>
    <w:rsid w:val="002C2FAB"/>
    <w:rsid w:val="002C3395"/>
    <w:rsid w:val="002C4269"/>
    <w:rsid w:val="002C451D"/>
    <w:rsid w:val="002C547E"/>
    <w:rsid w:val="002C5F73"/>
    <w:rsid w:val="002C70CE"/>
    <w:rsid w:val="002D34A9"/>
    <w:rsid w:val="002D478C"/>
    <w:rsid w:val="002D566A"/>
    <w:rsid w:val="002E373E"/>
    <w:rsid w:val="002E7287"/>
    <w:rsid w:val="002E7822"/>
    <w:rsid w:val="002F00E3"/>
    <w:rsid w:val="002F2A9F"/>
    <w:rsid w:val="002F4183"/>
    <w:rsid w:val="002F475D"/>
    <w:rsid w:val="002F5272"/>
    <w:rsid w:val="002F664F"/>
    <w:rsid w:val="002F7155"/>
    <w:rsid w:val="002F71D6"/>
    <w:rsid w:val="002F7A63"/>
    <w:rsid w:val="0030068B"/>
    <w:rsid w:val="00302737"/>
    <w:rsid w:val="00303AB8"/>
    <w:rsid w:val="003045F6"/>
    <w:rsid w:val="00304D73"/>
    <w:rsid w:val="00305182"/>
    <w:rsid w:val="003056D6"/>
    <w:rsid w:val="00306E0A"/>
    <w:rsid w:val="00312C1B"/>
    <w:rsid w:val="00314B0B"/>
    <w:rsid w:val="00316098"/>
    <w:rsid w:val="00316631"/>
    <w:rsid w:val="00316EE5"/>
    <w:rsid w:val="00317B1C"/>
    <w:rsid w:val="00321A46"/>
    <w:rsid w:val="00321E62"/>
    <w:rsid w:val="00323299"/>
    <w:rsid w:val="0032477D"/>
    <w:rsid w:val="003262D2"/>
    <w:rsid w:val="00327329"/>
    <w:rsid w:val="00327499"/>
    <w:rsid w:val="00327DDD"/>
    <w:rsid w:val="0033058A"/>
    <w:rsid w:val="00330AC7"/>
    <w:rsid w:val="003317C3"/>
    <w:rsid w:val="0033195A"/>
    <w:rsid w:val="00332A82"/>
    <w:rsid w:val="003350EA"/>
    <w:rsid w:val="003371DB"/>
    <w:rsid w:val="0034021F"/>
    <w:rsid w:val="0034130D"/>
    <w:rsid w:val="0034133C"/>
    <w:rsid w:val="003416A3"/>
    <w:rsid w:val="00342143"/>
    <w:rsid w:val="0034375C"/>
    <w:rsid w:val="00343AC1"/>
    <w:rsid w:val="0034477A"/>
    <w:rsid w:val="0034596B"/>
    <w:rsid w:val="00346C40"/>
    <w:rsid w:val="00350083"/>
    <w:rsid w:val="003504FE"/>
    <w:rsid w:val="00351DF3"/>
    <w:rsid w:val="003521B8"/>
    <w:rsid w:val="00352316"/>
    <w:rsid w:val="00352977"/>
    <w:rsid w:val="003543C9"/>
    <w:rsid w:val="00354514"/>
    <w:rsid w:val="003550DA"/>
    <w:rsid w:val="003553D6"/>
    <w:rsid w:val="003558E7"/>
    <w:rsid w:val="00356DF3"/>
    <w:rsid w:val="00357C5C"/>
    <w:rsid w:val="00361CC3"/>
    <w:rsid w:val="003636A4"/>
    <w:rsid w:val="00364B41"/>
    <w:rsid w:val="00365CE8"/>
    <w:rsid w:val="003668AF"/>
    <w:rsid w:val="00370741"/>
    <w:rsid w:val="0037146A"/>
    <w:rsid w:val="0037176A"/>
    <w:rsid w:val="00373A69"/>
    <w:rsid w:val="00375479"/>
    <w:rsid w:val="0037664B"/>
    <w:rsid w:val="00377B14"/>
    <w:rsid w:val="00380C4B"/>
    <w:rsid w:val="003814EF"/>
    <w:rsid w:val="003827C5"/>
    <w:rsid w:val="00383267"/>
    <w:rsid w:val="00383DA8"/>
    <w:rsid w:val="00383E3E"/>
    <w:rsid w:val="00384469"/>
    <w:rsid w:val="00392557"/>
    <w:rsid w:val="00393270"/>
    <w:rsid w:val="00393D1A"/>
    <w:rsid w:val="00394D6A"/>
    <w:rsid w:val="00394F4A"/>
    <w:rsid w:val="003958CF"/>
    <w:rsid w:val="00396613"/>
    <w:rsid w:val="003A05A0"/>
    <w:rsid w:val="003A05C5"/>
    <w:rsid w:val="003A13CA"/>
    <w:rsid w:val="003A1AB1"/>
    <w:rsid w:val="003A1AEA"/>
    <w:rsid w:val="003A231A"/>
    <w:rsid w:val="003A3022"/>
    <w:rsid w:val="003A35A7"/>
    <w:rsid w:val="003A3BED"/>
    <w:rsid w:val="003A3DFE"/>
    <w:rsid w:val="003A415B"/>
    <w:rsid w:val="003A4A28"/>
    <w:rsid w:val="003A5B2A"/>
    <w:rsid w:val="003A683D"/>
    <w:rsid w:val="003B2D3A"/>
    <w:rsid w:val="003B441D"/>
    <w:rsid w:val="003B47FF"/>
    <w:rsid w:val="003B66A4"/>
    <w:rsid w:val="003B7C61"/>
    <w:rsid w:val="003C0F81"/>
    <w:rsid w:val="003C0FDC"/>
    <w:rsid w:val="003C1534"/>
    <w:rsid w:val="003C1628"/>
    <w:rsid w:val="003C2B1B"/>
    <w:rsid w:val="003C2DA5"/>
    <w:rsid w:val="003C43EF"/>
    <w:rsid w:val="003C464D"/>
    <w:rsid w:val="003C4B53"/>
    <w:rsid w:val="003C6161"/>
    <w:rsid w:val="003D20C4"/>
    <w:rsid w:val="003D4D5B"/>
    <w:rsid w:val="003D70BB"/>
    <w:rsid w:val="003D72A1"/>
    <w:rsid w:val="003D76CD"/>
    <w:rsid w:val="003E0F35"/>
    <w:rsid w:val="003E14A9"/>
    <w:rsid w:val="003E22CB"/>
    <w:rsid w:val="003E258F"/>
    <w:rsid w:val="003E3562"/>
    <w:rsid w:val="003E3F93"/>
    <w:rsid w:val="003E44AF"/>
    <w:rsid w:val="003E4568"/>
    <w:rsid w:val="003E60F8"/>
    <w:rsid w:val="003E7DDE"/>
    <w:rsid w:val="003F0F13"/>
    <w:rsid w:val="003F5DE1"/>
    <w:rsid w:val="003F5F7A"/>
    <w:rsid w:val="004000E2"/>
    <w:rsid w:val="00400274"/>
    <w:rsid w:val="00400B9A"/>
    <w:rsid w:val="00403D51"/>
    <w:rsid w:val="004102A4"/>
    <w:rsid w:val="00413021"/>
    <w:rsid w:val="00413518"/>
    <w:rsid w:val="0041369A"/>
    <w:rsid w:val="00415912"/>
    <w:rsid w:val="00416FB6"/>
    <w:rsid w:val="0042286B"/>
    <w:rsid w:val="00425F63"/>
    <w:rsid w:val="00427D78"/>
    <w:rsid w:val="0043271A"/>
    <w:rsid w:val="00432796"/>
    <w:rsid w:val="00432EB4"/>
    <w:rsid w:val="00432F29"/>
    <w:rsid w:val="00434057"/>
    <w:rsid w:val="00435096"/>
    <w:rsid w:val="00440CE0"/>
    <w:rsid w:val="0044241B"/>
    <w:rsid w:val="00443A29"/>
    <w:rsid w:val="00443DE8"/>
    <w:rsid w:val="00444619"/>
    <w:rsid w:val="004448CA"/>
    <w:rsid w:val="004468BC"/>
    <w:rsid w:val="00447517"/>
    <w:rsid w:val="00450760"/>
    <w:rsid w:val="00450FE7"/>
    <w:rsid w:val="00451AA9"/>
    <w:rsid w:val="004527FE"/>
    <w:rsid w:val="00452EC7"/>
    <w:rsid w:val="00453175"/>
    <w:rsid w:val="00453780"/>
    <w:rsid w:val="0045398A"/>
    <w:rsid w:val="00455495"/>
    <w:rsid w:val="00461B64"/>
    <w:rsid w:val="0046519F"/>
    <w:rsid w:val="004657FC"/>
    <w:rsid w:val="0046678C"/>
    <w:rsid w:val="0046760B"/>
    <w:rsid w:val="004702B9"/>
    <w:rsid w:val="00470BB5"/>
    <w:rsid w:val="004718FE"/>
    <w:rsid w:val="00474B58"/>
    <w:rsid w:val="00474C83"/>
    <w:rsid w:val="00480DA8"/>
    <w:rsid w:val="004829FE"/>
    <w:rsid w:val="00483625"/>
    <w:rsid w:val="004854F8"/>
    <w:rsid w:val="0048572B"/>
    <w:rsid w:val="004871B3"/>
    <w:rsid w:val="00487807"/>
    <w:rsid w:val="00487944"/>
    <w:rsid w:val="00490153"/>
    <w:rsid w:val="004908D4"/>
    <w:rsid w:val="00492522"/>
    <w:rsid w:val="00492CAF"/>
    <w:rsid w:val="00494561"/>
    <w:rsid w:val="00495F6A"/>
    <w:rsid w:val="00496E0E"/>
    <w:rsid w:val="004A0406"/>
    <w:rsid w:val="004A1723"/>
    <w:rsid w:val="004A1D57"/>
    <w:rsid w:val="004A2462"/>
    <w:rsid w:val="004A2A46"/>
    <w:rsid w:val="004A5050"/>
    <w:rsid w:val="004A7384"/>
    <w:rsid w:val="004A7843"/>
    <w:rsid w:val="004B329E"/>
    <w:rsid w:val="004B35BC"/>
    <w:rsid w:val="004B3E8D"/>
    <w:rsid w:val="004B50AE"/>
    <w:rsid w:val="004B5691"/>
    <w:rsid w:val="004B757F"/>
    <w:rsid w:val="004C0183"/>
    <w:rsid w:val="004C0761"/>
    <w:rsid w:val="004C280F"/>
    <w:rsid w:val="004C468D"/>
    <w:rsid w:val="004C554B"/>
    <w:rsid w:val="004C753E"/>
    <w:rsid w:val="004C7E89"/>
    <w:rsid w:val="004D3AE0"/>
    <w:rsid w:val="004D5110"/>
    <w:rsid w:val="004D5FF2"/>
    <w:rsid w:val="004E06E9"/>
    <w:rsid w:val="004E197E"/>
    <w:rsid w:val="004E2C11"/>
    <w:rsid w:val="004E2E25"/>
    <w:rsid w:val="004E58D2"/>
    <w:rsid w:val="004F07E5"/>
    <w:rsid w:val="004F0B11"/>
    <w:rsid w:val="004F0D4F"/>
    <w:rsid w:val="004F0F57"/>
    <w:rsid w:val="004F21B9"/>
    <w:rsid w:val="004F2470"/>
    <w:rsid w:val="004F2D29"/>
    <w:rsid w:val="004F38B8"/>
    <w:rsid w:val="004F3C75"/>
    <w:rsid w:val="004F7A38"/>
    <w:rsid w:val="0050137C"/>
    <w:rsid w:val="005017BA"/>
    <w:rsid w:val="0050191F"/>
    <w:rsid w:val="00502117"/>
    <w:rsid w:val="00503688"/>
    <w:rsid w:val="005038F5"/>
    <w:rsid w:val="00503EE0"/>
    <w:rsid w:val="00504EE0"/>
    <w:rsid w:val="0050535B"/>
    <w:rsid w:val="005074B6"/>
    <w:rsid w:val="005104BB"/>
    <w:rsid w:val="00511841"/>
    <w:rsid w:val="005126A4"/>
    <w:rsid w:val="00513F6F"/>
    <w:rsid w:val="00515ECB"/>
    <w:rsid w:val="00520331"/>
    <w:rsid w:val="00521B6A"/>
    <w:rsid w:val="0052234D"/>
    <w:rsid w:val="00523217"/>
    <w:rsid w:val="00526159"/>
    <w:rsid w:val="00527D19"/>
    <w:rsid w:val="00530312"/>
    <w:rsid w:val="00530783"/>
    <w:rsid w:val="00530CAA"/>
    <w:rsid w:val="00531BD7"/>
    <w:rsid w:val="00534D2C"/>
    <w:rsid w:val="00536044"/>
    <w:rsid w:val="00536B89"/>
    <w:rsid w:val="00536CE1"/>
    <w:rsid w:val="00537533"/>
    <w:rsid w:val="005401AF"/>
    <w:rsid w:val="00540586"/>
    <w:rsid w:val="005417CD"/>
    <w:rsid w:val="00542D7E"/>
    <w:rsid w:val="005438C6"/>
    <w:rsid w:val="00547F83"/>
    <w:rsid w:val="00551421"/>
    <w:rsid w:val="005535E3"/>
    <w:rsid w:val="00554930"/>
    <w:rsid w:val="00554CC3"/>
    <w:rsid w:val="00556A53"/>
    <w:rsid w:val="005578DD"/>
    <w:rsid w:val="00557BF4"/>
    <w:rsid w:val="005607C4"/>
    <w:rsid w:val="00560DD5"/>
    <w:rsid w:val="00562B98"/>
    <w:rsid w:val="0056434A"/>
    <w:rsid w:val="00565784"/>
    <w:rsid w:val="005660B4"/>
    <w:rsid w:val="0056695E"/>
    <w:rsid w:val="00570790"/>
    <w:rsid w:val="005720BF"/>
    <w:rsid w:val="00572D8A"/>
    <w:rsid w:val="00572E71"/>
    <w:rsid w:val="005736E3"/>
    <w:rsid w:val="005737EC"/>
    <w:rsid w:val="00573AC7"/>
    <w:rsid w:val="00575829"/>
    <w:rsid w:val="005803CD"/>
    <w:rsid w:val="005816FC"/>
    <w:rsid w:val="00581869"/>
    <w:rsid w:val="00581F9B"/>
    <w:rsid w:val="00583B84"/>
    <w:rsid w:val="0058430F"/>
    <w:rsid w:val="00584916"/>
    <w:rsid w:val="00584C2C"/>
    <w:rsid w:val="005856C6"/>
    <w:rsid w:val="005861B6"/>
    <w:rsid w:val="00593262"/>
    <w:rsid w:val="005943CB"/>
    <w:rsid w:val="00594456"/>
    <w:rsid w:val="00594D9A"/>
    <w:rsid w:val="00595263"/>
    <w:rsid w:val="005A031D"/>
    <w:rsid w:val="005A06D4"/>
    <w:rsid w:val="005A185B"/>
    <w:rsid w:val="005A2798"/>
    <w:rsid w:val="005A3617"/>
    <w:rsid w:val="005A384F"/>
    <w:rsid w:val="005A4587"/>
    <w:rsid w:val="005A56A4"/>
    <w:rsid w:val="005A6341"/>
    <w:rsid w:val="005A6511"/>
    <w:rsid w:val="005A6EB7"/>
    <w:rsid w:val="005A7B5B"/>
    <w:rsid w:val="005B3518"/>
    <w:rsid w:val="005B41CA"/>
    <w:rsid w:val="005B71FB"/>
    <w:rsid w:val="005C1A32"/>
    <w:rsid w:val="005C1B2E"/>
    <w:rsid w:val="005C21FA"/>
    <w:rsid w:val="005C6C51"/>
    <w:rsid w:val="005D0D3F"/>
    <w:rsid w:val="005D112C"/>
    <w:rsid w:val="005D1834"/>
    <w:rsid w:val="005D28B7"/>
    <w:rsid w:val="005D53B6"/>
    <w:rsid w:val="005D6D7E"/>
    <w:rsid w:val="005D725E"/>
    <w:rsid w:val="005E5820"/>
    <w:rsid w:val="005E624A"/>
    <w:rsid w:val="005F324E"/>
    <w:rsid w:val="005F4B6C"/>
    <w:rsid w:val="005F4E97"/>
    <w:rsid w:val="005F6F31"/>
    <w:rsid w:val="005F7D60"/>
    <w:rsid w:val="006014B6"/>
    <w:rsid w:val="00601936"/>
    <w:rsid w:val="0060228B"/>
    <w:rsid w:val="0060434F"/>
    <w:rsid w:val="00604858"/>
    <w:rsid w:val="006050EE"/>
    <w:rsid w:val="006051A3"/>
    <w:rsid w:val="006053DE"/>
    <w:rsid w:val="0060618D"/>
    <w:rsid w:val="00611099"/>
    <w:rsid w:val="00612D8D"/>
    <w:rsid w:val="00614724"/>
    <w:rsid w:val="00615D54"/>
    <w:rsid w:val="00616684"/>
    <w:rsid w:val="00617974"/>
    <w:rsid w:val="006211BC"/>
    <w:rsid w:val="006222B0"/>
    <w:rsid w:val="00624399"/>
    <w:rsid w:val="006250FB"/>
    <w:rsid w:val="00626214"/>
    <w:rsid w:val="00626273"/>
    <w:rsid w:val="00626E96"/>
    <w:rsid w:val="006278C0"/>
    <w:rsid w:val="00631E30"/>
    <w:rsid w:val="00633253"/>
    <w:rsid w:val="006343B2"/>
    <w:rsid w:val="00634978"/>
    <w:rsid w:val="006349AE"/>
    <w:rsid w:val="00634F83"/>
    <w:rsid w:val="006351A2"/>
    <w:rsid w:val="00635656"/>
    <w:rsid w:val="00635C86"/>
    <w:rsid w:val="00637636"/>
    <w:rsid w:val="00641E93"/>
    <w:rsid w:val="00644A8B"/>
    <w:rsid w:val="00647D86"/>
    <w:rsid w:val="00652006"/>
    <w:rsid w:val="0065246C"/>
    <w:rsid w:val="0065549B"/>
    <w:rsid w:val="00661D55"/>
    <w:rsid w:val="006651FC"/>
    <w:rsid w:val="00665241"/>
    <w:rsid w:val="00665277"/>
    <w:rsid w:val="006655A4"/>
    <w:rsid w:val="006664DF"/>
    <w:rsid w:val="00667719"/>
    <w:rsid w:val="00671C60"/>
    <w:rsid w:val="00672E7A"/>
    <w:rsid w:val="006736ED"/>
    <w:rsid w:val="00673DC6"/>
    <w:rsid w:val="00674C23"/>
    <w:rsid w:val="00675241"/>
    <w:rsid w:val="00675D68"/>
    <w:rsid w:val="00676FF0"/>
    <w:rsid w:val="00677C85"/>
    <w:rsid w:val="00680748"/>
    <w:rsid w:val="00680AF7"/>
    <w:rsid w:val="00681CD4"/>
    <w:rsid w:val="006827E4"/>
    <w:rsid w:val="006839D2"/>
    <w:rsid w:val="00683FE0"/>
    <w:rsid w:val="006851AB"/>
    <w:rsid w:val="006867F9"/>
    <w:rsid w:val="00686948"/>
    <w:rsid w:val="00691CC4"/>
    <w:rsid w:val="00691F10"/>
    <w:rsid w:val="0069273F"/>
    <w:rsid w:val="00693BED"/>
    <w:rsid w:val="006942F4"/>
    <w:rsid w:val="006950B9"/>
    <w:rsid w:val="00695779"/>
    <w:rsid w:val="00695965"/>
    <w:rsid w:val="006960B5"/>
    <w:rsid w:val="006A1B9F"/>
    <w:rsid w:val="006A3251"/>
    <w:rsid w:val="006A3E2C"/>
    <w:rsid w:val="006A5CF6"/>
    <w:rsid w:val="006A7B8B"/>
    <w:rsid w:val="006B03E4"/>
    <w:rsid w:val="006B04CE"/>
    <w:rsid w:val="006B17E1"/>
    <w:rsid w:val="006B3540"/>
    <w:rsid w:val="006B4590"/>
    <w:rsid w:val="006B4C68"/>
    <w:rsid w:val="006B53E2"/>
    <w:rsid w:val="006B5478"/>
    <w:rsid w:val="006C0080"/>
    <w:rsid w:val="006C1C1B"/>
    <w:rsid w:val="006C1DD6"/>
    <w:rsid w:val="006C3518"/>
    <w:rsid w:val="006C3FD7"/>
    <w:rsid w:val="006C44E9"/>
    <w:rsid w:val="006C4C77"/>
    <w:rsid w:val="006C59F0"/>
    <w:rsid w:val="006C7539"/>
    <w:rsid w:val="006D1BF1"/>
    <w:rsid w:val="006D34BA"/>
    <w:rsid w:val="006D374D"/>
    <w:rsid w:val="006D3FDB"/>
    <w:rsid w:val="006D658C"/>
    <w:rsid w:val="006E18CB"/>
    <w:rsid w:val="006E282A"/>
    <w:rsid w:val="006E3482"/>
    <w:rsid w:val="006E4DEC"/>
    <w:rsid w:val="006E54E8"/>
    <w:rsid w:val="006E59B8"/>
    <w:rsid w:val="006E5F96"/>
    <w:rsid w:val="006E6627"/>
    <w:rsid w:val="006E67EA"/>
    <w:rsid w:val="006F04ED"/>
    <w:rsid w:val="006F0A51"/>
    <w:rsid w:val="006F255E"/>
    <w:rsid w:val="006F354E"/>
    <w:rsid w:val="006F3D64"/>
    <w:rsid w:val="006F5D4E"/>
    <w:rsid w:val="006F647A"/>
    <w:rsid w:val="006F657F"/>
    <w:rsid w:val="006F746C"/>
    <w:rsid w:val="006F7A4C"/>
    <w:rsid w:val="00702AC5"/>
    <w:rsid w:val="00704FE4"/>
    <w:rsid w:val="00705DFE"/>
    <w:rsid w:val="00713DB8"/>
    <w:rsid w:val="00715514"/>
    <w:rsid w:val="0071598D"/>
    <w:rsid w:val="00715B36"/>
    <w:rsid w:val="007164AA"/>
    <w:rsid w:val="007172F1"/>
    <w:rsid w:val="00720AF1"/>
    <w:rsid w:val="00720EDD"/>
    <w:rsid w:val="00721618"/>
    <w:rsid w:val="00721F36"/>
    <w:rsid w:val="00722B5D"/>
    <w:rsid w:val="007252EE"/>
    <w:rsid w:val="00725EA1"/>
    <w:rsid w:val="00726887"/>
    <w:rsid w:val="00726A4A"/>
    <w:rsid w:val="007333B9"/>
    <w:rsid w:val="00733B6F"/>
    <w:rsid w:val="0073427D"/>
    <w:rsid w:val="00740EAC"/>
    <w:rsid w:val="007412C3"/>
    <w:rsid w:val="0074344B"/>
    <w:rsid w:val="00745E9A"/>
    <w:rsid w:val="00750EA1"/>
    <w:rsid w:val="00750FDD"/>
    <w:rsid w:val="00752484"/>
    <w:rsid w:val="007577DC"/>
    <w:rsid w:val="0076214F"/>
    <w:rsid w:val="00764377"/>
    <w:rsid w:val="007649B9"/>
    <w:rsid w:val="00767A38"/>
    <w:rsid w:val="00767BB1"/>
    <w:rsid w:val="00771668"/>
    <w:rsid w:val="00772BE1"/>
    <w:rsid w:val="007730F1"/>
    <w:rsid w:val="0077341A"/>
    <w:rsid w:val="007737B6"/>
    <w:rsid w:val="00774F22"/>
    <w:rsid w:val="00775A4F"/>
    <w:rsid w:val="00782307"/>
    <w:rsid w:val="00782F74"/>
    <w:rsid w:val="00783551"/>
    <w:rsid w:val="00784F23"/>
    <w:rsid w:val="007851FC"/>
    <w:rsid w:val="0078560A"/>
    <w:rsid w:val="00785BF8"/>
    <w:rsid w:val="00785E81"/>
    <w:rsid w:val="00787012"/>
    <w:rsid w:val="00787544"/>
    <w:rsid w:val="00790CB6"/>
    <w:rsid w:val="00791DCE"/>
    <w:rsid w:val="0079226E"/>
    <w:rsid w:val="00793C28"/>
    <w:rsid w:val="00794935"/>
    <w:rsid w:val="00796005"/>
    <w:rsid w:val="00796394"/>
    <w:rsid w:val="007A05ED"/>
    <w:rsid w:val="007A27AA"/>
    <w:rsid w:val="007A45CE"/>
    <w:rsid w:val="007A55B0"/>
    <w:rsid w:val="007A6C54"/>
    <w:rsid w:val="007A6E48"/>
    <w:rsid w:val="007A705F"/>
    <w:rsid w:val="007B0DDC"/>
    <w:rsid w:val="007B11DD"/>
    <w:rsid w:val="007B2073"/>
    <w:rsid w:val="007B24CD"/>
    <w:rsid w:val="007B262D"/>
    <w:rsid w:val="007B5415"/>
    <w:rsid w:val="007C0902"/>
    <w:rsid w:val="007C0E6F"/>
    <w:rsid w:val="007C2B34"/>
    <w:rsid w:val="007C3E50"/>
    <w:rsid w:val="007C62EF"/>
    <w:rsid w:val="007C66DC"/>
    <w:rsid w:val="007C709C"/>
    <w:rsid w:val="007D0172"/>
    <w:rsid w:val="007D0F81"/>
    <w:rsid w:val="007D407D"/>
    <w:rsid w:val="007D4512"/>
    <w:rsid w:val="007D670D"/>
    <w:rsid w:val="007D7EA9"/>
    <w:rsid w:val="007E3F10"/>
    <w:rsid w:val="007E7D06"/>
    <w:rsid w:val="007F08FF"/>
    <w:rsid w:val="007F0D98"/>
    <w:rsid w:val="007F1CE6"/>
    <w:rsid w:val="007F2E0A"/>
    <w:rsid w:val="007F3814"/>
    <w:rsid w:val="007F4762"/>
    <w:rsid w:val="007F47CA"/>
    <w:rsid w:val="007F7CEF"/>
    <w:rsid w:val="008025A0"/>
    <w:rsid w:val="00802DDE"/>
    <w:rsid w:val="008032DD"/>
    <w:rsid w:val="0080435B"/>
    <w:rsid w:val="00804FD8"/>
    <w:rsid w:val="008052B0"/>
    <w:rsid w:val="00805D85"/>
    <w:rsid w:val="00806546"/>
    <w:rsid w:val="008071BC"/>
    <w:rsid w:val="00810DB9"/>
    <w:rsid w:val="0081158B"/>
    <w:rsid w:val="008126F7"/>
    <w:rsid w:val="008138BD"/>
    <w:rsid w:val="00813FDE"/>
    <w:rsid w:val="008147E7"/>
    <w:rsid w:val="00814A8E"/>
    <w:rsid w:val="00817315"/>
    <w:rsid w:val="008206E2"/>
    <w:rsid w:val="0082146C"/>
    <w:rsid w:val="008217FB"/>
    <w:rsid w:val="008225C9"/>
    <w:rsid w:val="00822631"/>
    <w:rsid w:val="00822900"/>
    <w:rsid w:val="00824CBF"/>
    <w:rsid w:val="00826653"/>
    <w:rsid w:val="00827DE9"/>
    <w:rsid w:val="00841729"/>
    <w:rsid w:val="0084250C"/>
    <w:rsid w:val="008425D0"/>
    <w:rsid w:val="0084334C"/>
    <w:rsid w:val="00843642"/>
    <w:rsid w:val="00843E58"/>
    <w:rsid w:val="0084478E"/>
    <w:rsid w:val="00844A61"/>
    <w:rsid w:val="00846D79"/>
    <w:rsid w:val="00851368"/>
    <w:rsid w:val="00852869"/>
    <w:rsid w:val="00854867"/>
    <w:rsid w:val="00856274"/>
    <w:rsid w:val="00856558"/>
    <w:rsid w:val="00856DB6"/>
    <w:rsid w:val="008572F7"/>
    <w:rsid w:val="008573DE"/>
    <w:rsid w:val="00857F56"/>
    <w:rsid w:val="0086024D"/>
    <w:rsid w:val="00860487"/>
    <w:rsid w:val="008606E9"/>
    <w:rsid w:val="008613B8"/>
    <w:rsid w:val="008614E2"/>
    <w:rsid w:val="0086339E"/>
    <w:rsid w:val="00864921"/>
    <w:rsid w:val="00865BB4"/>
    <w:rsid w:val="0086736A"/>
    <w:rsid w:val="008674B6"/>
    <w:rsid w:val="008676F3"/>
    <w:rsid w:val="00871F8E"/>
    <w:rsid w:val="00872276"/>
    <w:rsid w:val="00873F89"/>
    <w:rsid w:val="00874162"/>
    <w:rsid w:val="00876268"/>
    <w:rsid w:val="008767E4"/>
    <w:rsid w:val="0087683D"/>
    <w:rsid w:val="00880DDF"/>
    <w:rsid w:val="00881271"/>
    <w:rsid w:val="00882C99"/>
    <w:rsid w:val="008871BE"/>
    <w:rsid w:val="00887F56"/>
    <w:rsid w:val="008909A1"/>
    <w:rsid w:val="00890DB2"/>
    <w:rsid w:val="0089240C"/>
    <w:rsid w:val="00892B7E"/>
    <w:rsid w:val="00895AF0"/>
    <w:rsid w:val="00895C97"/>
    <w:rsid w:val="0089639D"/>
    <w:rsid w:val="00896D79"/>
    <w:rsid w:val="00897D59"/>
    <w:rsid w:val="008A005F"/>
    <w:rsid w:val="008A159B"/>
    <w:rsid w:val="008A401F"/>
    <w:rsid w:val="008A689A"/>
    <w:rsid w:val="008A6E06"/>
    <w:rsid w:val="008A76A4"/>
    <w:rsid w:val="008B2D5E"/>
    <w:rsid w:val="008B37DF"/>
    <w:rsid w:val="008B3804"/>
    <w:rsid w:val="008B564C"/>
    <w:rsid w:val="008B6AC5"/>
    <w:rsid w:val="008C0CA6"/>
    <w:rsid w:val="008C1CF8"/>
    <w:rsid w:val="008C3587"/>
    <w:rsid w:val="008C45E1"/>
    <w:rsid w:val="008C46B4"/>
    <w:rsid w:val="008C4F77"/>
    <w:rsid w:val="008D11E6"/>
    <w:rsid w:val="008D16A4"/>
    <w:rsid w:val="008D3839"/>
    <w:rsid w:val="008D4015"/>
    <w:rsid w:val="008D4571"/>
    <w:rsid w:val="008D4DCD"/>
    <w:rsid w:val="008D4E10"/>
    <w:rsid w:val="008D5677"/>
    <w:rsid w:val="008D6489"/>
    <w:rsid w:val="008D7010"/>
    <w:rsid w:val="008D7F12"/>
    <w:rsid w:val="008E0238"/>
    <w:rsid w:val="008E09E7"/>
    <w:rsid w:val="008E1598"/>
    <w:rsid w:val="008E4093"/>
    <w:rsid w:val="008E4468"/>
    <w:rsid w:val="008E4DEC"/>
    <w:rsid w:val="008E4F2B"/>
    <w:rsid w:val="008E55AE"/>
    <w:rsid w:val="008E6929"/>
    <w:rsid w:val="008E69BF"/>
    <w:rsid w:val="008E7C9B"/>
    <w:rsid w:val="008E7DE7"/>
    <w:rsid w:val="008F1EF5"/>
    <w:rsid w:val="008F27CE"/>
    <w:rsid w:val="008F38C7"/>
    <w:rsid w:val="008F3C4D"/>
    <w:rsid w:val="00900C1A"/>
    <w:rsid w:val="009052FB"/>
    <w:rsid w:val="009070F0"/>
    <w:rsid w:val="00907D17"/>
    <w:rsid w:val="00907F2A"/>
    <w:rsid w:val="00910F15"/>
    <w:rsid w:val="00915EEF"/>
    <w:rsid w:val="009170F7"/>
    <w:rsid w:val="00920686"/>
    <w:rsid w:val="00921681"/>
    <w:rsid w:val="00921962"/>
    <w:rsid w:val="00922425"/>
    <w:rsid w:val="00923FC9"/>
    <w:rsid w:val="00926242"/>
    <w:rsid w:val="009273EC"/>
    <w:rsid w:val="009320FA"/>
    <w:rsid w:val="009334AF"/>
    <w:rsid w:val="009342CC"/>
    <w:rsid w:val="009367E2"/>
    <w:rsid w:val="00937F69"/>
    <w:rsid w:val="00940319"/>
    <w:rsid w:val="0094223C"/>
    <w:rsid w:val="00942F2E"/>
    <w:rsid w:val="00945544"/>
    <w:rsid w:val="0094565C"/>
    <w:rsid w:val="00945A9B"/>
    <w:rsid w:val="00945C87"/>
    <w:rsid w:val="00947080"/>
    <w:rsid w:val="009509E9"/>
    <w:rsid w:val="00950A71"/>
    <w:rsid w:val="00950C03"/>
    <w:rsid w:val="009523EE"/>
    <w:rsid w:val="009525E5"/>
    <w:rsid w:val="00952A72"/>
    <w:rsid w:val="00955E6F"/>
    <w:rsid w:val="00955FBB"/>
    <w:rsid w:val="00956692"/>
    <w:rsid w:val="00957DF4"/>
    <w:rsid w:val="00960C1E"/>
    <w:rsid w:val="00960E2D"/>
    <w:rsid w:val="009623C7"/>
    <w:rsid w:val="00964535"/>
    <w:rsid w:val="00966717"/>
    <w:rsid w:val="009704E5"/>
    <w:rsid w:val="009707C5"/>
    <w:rsid w:val="00970E29"/>
    <w:rsid w:val="0097274B"/>
    <w:rsid w:val="009735E6"/>
    <w:rsid w:val="00973B58"/>
    <w:rsid w:val="00973DB7"/>
    <w:rsid w:val="009745FE"/>
    <w:rsid w:val="00975B3E"/>
    <w:rsid w:val="00975EE0"/>
    <w:rsid w:val="00976110"/>
    <w:rsid w:val="009763B7"/>
    <w:rsid w:val="00977A94"/>
    <w:rsid w:val="009813A9"/>
    <w:rsid w:val="009815CD"/>
    <w:rsid w:val="00981EAD"/>
    <w:rsid w:val="00981EBA"/>
    <w:rsid w:val="0098301A"/>
    <w:rsid w:val="0098781B"/>
    <w:rsid w:val="0099006D"/>
    <w:rsid w:val="00994EB9"/>
    <w:rsid w:val="00995920"/>
    <w:rsid w:val="00996B5E"/>
    <w:rsid w:val="009A2FD9"/>
    <w:rsid w:val="009A38B6"/>
    <w:rsid w:val="009A59F3"/>
    <w:rsid w:val="009A68A0"/>
    <w:rsid w:val="009B202B"/>
    <w:rsid w:val="009B3B58"/>
    <w:rsid w:val="009B3C01"/>
    <w:rsid w:val="009B42BB"/>
    <w:rsid w:val="009B5E8F"/>
    <w:rsid w:val="009B6C74"/>
    <w:rsid w:val="009B73F1"/>
    <w:rsid w:val="009C2327"/>
    <w:rsid w:val="009C38E1"/>
    <w:rsid w:val="009C482A"/>
    <w:rsid w:val="009C6626"/>
    <w:rsid w:val="009C72D3"/>
    <w:rsid w:val="009C7430"/>
    <w:rsid w:val="009D00D3"/>
    <w:rsid w:val="009D05DF"/>
    <w:rsid w:val="009D1AE9"/>
    <w:rsid w:val="009D2206"/>
    <w:rsid w:val="009D325B"/>
    <w:rsid w:val="009D36DA"/>
    <w:rsid w:val="009D3BAC"/>
    <w:rsid w:val="009D45B8"/>
    <w:rsid w:val="009D4FE9"/>
    <w:rsid w:val="009D594F"/>
    <w:rsid w:val="009D5D10"/>
    <w:rsid w:val="009D624F"/>
    <w:rsid w:val="009D63B0"/>
    <w:rsid w:val="009D694A"/>
    <w:rsid w:val="009E0C7F"/>
    <w:rsid w:val="009E1997"/>
    <w:rsid w:val="009E2CC7"/>
    <w:rsid w:val="009E4092"/>
    <w:rsid w:val="009E65DD"/>
    <w:rsid w:val="009E6A84"/>
    <w:rsid w:val="009F1D78"/>
    <w:rsid w:val="009F2DBE"/>
    <w:rsid w:val="009F3CD6"/>
    <w:rsid w:val="009F4E4E"/>
    <w:rsid w:val="009F5289"/>
    <w:rsid w:val="009F5514"/>
    <w:rsid w:val="009F665C"/>
    <w:rsid w:val="00A0023F"/>
    <w:rsid w:val="00A015E5"/>
    <w:rsid w:val="00A06651"/>
    <w:rsid w:val="00A07979"/>
    <w:rsid w:val="00A12814"/>
    <w:rsid w:val="00A12E1E"/>
    <w:rsid w:val="00A13688"/>
    <w:rsid w:val="00A1423C"/>
    <w:rsid w:val="00A15540"/>
    <w:rsid w:val="00A16077"/>
    <w:rsid w:val="00A2102A"/>
    <w:rsid w:val="00A21160"/>
    <w:rsid w:val="00A216AA"/>
    <w:rsid w:val="00A2183E"/>
    <w:rsid w:val="00A2308A"/>
    <w:rsid w:val="00A236E1"/>
    <w:rsid w:val="00A253DC"/>
    <w:rsid w:val="00A25BCB"/>
    <w:rsid w:val="00A265CE"/>
    <w:rsid w:val="00A30227"/>
    <w:rsid w:val="00A30A91"/>
    <w:rsid w:val="00A3295F"/>
    <w:rsid w:val="00A32A56"/>
    <w:rsid w:val="00A33D1E"/>
    <w:rsid w:val="00A34D46"/>
    <w:rsid w:val="00A363B6"/>
    <w:rsid w:val="00A369A6"/>
    <w:rsid w:val="00A40368"/>
    <w:rsid w:val="00A40B7C"/>
    <w:rsid w:val="00A4284B"/>
    <w:rsid w:val="00A42A24"/>
    <w:rsid w:val="00A42C4C"/>
    <w:rsid w:val="00A43EB7"/>
    <w:rsid w:val="00A44FDC"/>
    <w:rsid w:val="00A45FEF"/>
    <w:rsid w:val="00A464AC"/>
    <w:rsid w:val="00A5008B"/>
    <w:rsid w:val="00A5173B"/>
    <w:rsid w:val="00A53367"/>
    <w:rsid w:val="00A54666"/>
    <w:rsid w:val="00A56195"/>
    <w:rsid w:val="00A56364"/>
    <w:rsid w:val="00A57189"/>
    <w:rsid w:val="00A60422"/>
    <w:rsid w:val="00A60E51"/>
    <w:rsid w:val="00A63158"/>
    <w:rsid w:val="00A64DFC"/>
    <w:rsid w:val="00A7052E"/>
    <w:rsid w:val="00A7382F"/>
    <w:rsid w:val="00A73B8C"/>
    <w:rsid w:val="00A75277"/>
    <w:rsid w:val="00A752FE"/>
    <w:rsid w:val="00A810AB"/>
    <w:rsid w:val="00A82FE0"/>
    <w:rsid w:val="00A8431B"/>
    <w:rsid w:val="00A8482E"/>
    <w:rsid w:val="00A84C96"/>
    <w:rsid w:val="00A84F27"/>
    <w:rsid w:val="00A86496"/>
    <w:rsid w:val="00A86D92"/>
    <w:rsid w:val="00A87560"/>
    <w:rsid w:val="00A91ABA"/>
    <w:rsid w:val="00A91BE5"/>
    <w:rsid w:val="00A9535D"/>
    <w:rsid w:val="00A97002"/>
    <w:rsid w:val="00A97A29"/>
    <w:rsid w:val="00A97EE2"/>
    <w:rsid w:val="00AA0A98"/>
    <w:rsid w:val="00AA2025"/>
    <w:rsid w:val="00AA2334"/>
    <w:rsid w:val="00AA525B"/>
    <w:rsid w:val="00AA598D"/>
    <w:rsid w:val="00AA5AE7"/>
    <w:rsid w:val="00AA6759"/>
    <w:rsid w:val="00AA7092"/>
    <w:rsid w:val="00AA78DC"/>
    <w:rsid w:val="00AB0008"/>
    <w:rsid w:val="00AB041C"/>
    <w:rsid w:val="00AB1270"/>
    <w:rsid w:val="00AB262D"/>
    <w:rsid w:val="00AB64CF"/>
    <w:rsid w:val="00AB664E"/>
    <w:rsid w:val="00AB6C62"/>
    <w:rsid w:val="00AB7948"/>
    <w:rsid w:val="00AB7E17"/>
    <w:rsid w:val="00AC039F"/>
    <w:rsid w:val="00AC15FE"/>
    <w:rsid w:val="00AC5877"/>
    <w:rsid w:val="00AC679B"/>
    <w:rsid w:val="00AC6F02"/>
    <w:rsid w:val="00AC7AE7"/>
    <w:rsid w:val="00AD287A"/>
    <w:rsid w:val="00AD4328"/>
    <w:rsid w:val="00AD5B65"/>
    <w:rsid w:val="00AD6239"/>
    <w:rsid w:val="00AD6388"/>
    <w:rsid w:val="00AD75A9"/>
    <w:rsid w:val="00AD777E"/>
    <w:rsid w:val="00AD7D57"/>
    <w:rsid w:val="00AD7E03"/>
    <w:rsid w:val="00AD7F25"/>
    <w:rsid w:val="00AE224C"/>
    <w:rsid w:val="00AE3650"/>
    <w:rsid w:val="00AE4853"/>
    <w:rsid w:val="00AE5B27"/>
    <w:rsid w:val="00AE610D"/>
    <w:rsid w:val="00AE6801"/>
    <w:rsid w:val="00AE6E53"/>
    <w:rsid w:val="00AF0EAF"/>
    <w:rsid w:val="00AF1352"/>
    <w:rsid w:val="00AF1CA3"/>
    <w:rsid w:val="00AF1CEF"/>
    <w:rsid w:val="00AF24B4"/>
    <w:rsid w:val="00AF5886"/>
    <w:rsid w:val="00AF738F"/>
    <w:rsid w:val="00B007CA"/>
    <w:rsid w:val="00B01222"/>
    <w:rsid w:val="00B01292"/>
    <w:rsid w:val="00B0187F"/>
    <w:rsid w:val="00B03B5F"/>
    <w:rsid w:val="00B041F4"/>
    <w:rsid w:val="00B04BD3"/>
    <w:rsid w:val="00B070CE"/>
    <w:rsid w:val="00B1267E"/>
    <w:rsid w:val="00B12832"/>
    <w:rsid w:val="00B128B5"/>
    <w:rsid w:val="00B1307E"/>
    <w:rsid w:val="00B14EA7"/>
    <w:rsid w:val="00B16275"/>
    <w:rsid w:val="00B21369"/>
    <w:rsid w:val="00B22721"/>
    <w:rsid w:val="00B25B82"/>
    <w:rsid w:val="00B26F08"/>
    <w:rsid w:val="00B33732"/>
    <w:rsid w:val="00B33834"/>
    <w:rsid w:val="00B358FB"/>
    <w:rsid w:val="00B36132"/>
    <w:rsid w:val="00B366A0"/>
    <w:rsid w:val="00B40C82"/>
    <w:rsid w:val="00B42F80"/>
    <w:rsid w:val="00B458D2"/>
    <w:rsid w:val="00B475FF"/>
    <w:rsid w:val="00B477AA"/>
    <w:rsid w:val="00B57E44"/>
    <w:rsid w:val="00B62912"/>
    <w:rsid w:val="00B66AC5"/>
    <w:rsid w:val="00B70479"/>
    <w:rsid w:val="00B70A4C"/>
    <w:rsid w:val="00B72880"/>
    <w:rsid w:val="00B73637"/>
    <w:rsid w:val="00B73A57"/>
    <w:rsid w:val="00B750FA"/>
    <w:rsid w:val="00B77597"/>
    <w:rsid w:val="00B775A7"/>
    <w:rsid w:val="00B80D86"/>
    <w:rsid w:val="00B8119C"/>
    <w:rsid w:val="00B81535"/>
    <w:rsid w:val="00B835EA"/>
    <w:rsid w:val="00B839C8"/>
    <w:rsid w:val="00B86009"/>
    <w:rsid w:val="00B87DD9"/>
    <w:rsid w:val="00B92720"/>
    <w:rsid w:val="00B92AD3"/>
    <w:rsid w:val="00B92DA9"/>
    <w:rsid w:val="00B94097"/>
    <w:rsid w:val="00B96275"/>
    <w:rsid w:val="00B97B96"/>
    <w:rsid w:val="00BA0926"/>
    <w:rsid w:val="00BA19EA"/>
    <w:rsid w:val="00BA2F73"/>
    <w:rsid w:val="00BA329C"/>
    <w:rsid w:val="00BA38CD"/>
    <w:rsid w:val="00BA3E6D"/>
    <w:rsid w:val="00BA48F6"/>
    <w:rsid w:val="00BA6793"/>
    <w:rsid w:val="00BA7C08"/>
    <w:rsid w:val="00BB151C"/>
    <w:rsid w:val="00BB1A88"/>
    <w:rsid w:val="00BB1B23"/>
    <w:rsid w:val="00BB1F27"/>
    <w:rsid w:val="00BB30AB"/>
    <w:rsid w:val="00BB62A9"/>
    <w:rsid w:val="00BB7CA0"/>
    <w:rsid w:val="00BC14C9"/>
    <w:rsid w:val="00BC3EDC"/>
    <w:rsid w:val="00BC5D8D"/>
    <w:rsid w:val="00BC610B"/>
    <w:rsid w:val="00BC6403"/>
    <w:rsid w:val="00BD030B"/>
    <w:rsid w:val="00BD0F4E"/>
    <w:rsid w:val="00BD1C6C"/>
    <w:rsid w:val="00BD2469"/>
    <w:rsid w:val="00BD3554"/>
    <w:rsid w:val="00BD3719"/>
    <w:rsid w:val="00BD3C18"/>
    <w:rsid w:val="00BD4FFF"/>
    <w:rsid w:val="00BD5DCA"/>
    <w:rsid w:val="00BD6424"/>
    <w:rsid w:val="00BD7B4D"/>
    <w:rsid w:val="00BE1DCB"/>
    <w:rsid w:val="00BE2F66"/>
    <w:rsid w:val="00BE42B5"/>
    <w:rsid w:val="00BE4709"/>
    <w:rsid w:val="00BF06D9"/>
    <w:rsid w:val="00BF0A87"/>
    <w:rsid w:val="00BF1407"/>
    <w:rsid w:val="00BF25A0"/>
    <w:rsid w:val="00BF2649"/>
    <w:rsid w:val="00BF2D1A"/>
    <w:rsid w:val="00BF2DC2"/>
    <w:rsid w:val="00BF3BE3"/>
    <w:rsid w:val="00BF6419"/>
    <w:rsid w:val="00BF7A8C"/>
    <w:rsid w:val="00C01567"/>
    <w:rsid w:val="00C029B2"/>
    <w:rsid w:val="00C0398F"/>
    <w:rsid w:val="00C04F43"/>
    <w:rsid w:val="00C05B04"/>
    <w:rsid w:val="00C10594"/>
    <w:rsid w:val="00C11FA2"/>
    <w:rsid w:val="00C12AAF"/>
    <w:rsid w:val="00C13610"/>
    <w:rsid w:val="00C14A0C"/>
    <w:rsid w:val="00C14B7E"/>
    <w:rsid w:val="00C15387"/>
    <w:rsid w:val="00C16DF1"/>
    <w:rsid w:val="00C17326"/>
    <w:rsid w:val="00C21726"/>
    <w:rsid w:val="00C22435"/>
    <w:rsid w:val="00C22E4F"/>
    <w:rsid w:val="00C23973"/>
    <w:rsid w:val="00C24966"/>
    <w:rsid w:val="00C26E07"/>
    <w:rsid w:val="00C274F2"/>
    <w:rsid w:val="00C30CAB"/>
    <w:rsid w:val="00C316C3"/>
    <w:rsid w:val="00C31F6E"/>
    <w:rsid w:val="00C3229E"/>
    <w:rsid w:val="00C328ED"/>
    <w:rsid w:val="00C3346D"/>
    <w:rsid w:val="00C340E1"/>
    <w:rsid w:val="00C35260"/>
    <w:rsid w:val="00C355D8"/>
    <w:rsid w:val="00C36613"/>
    <w:rsid w:val="00C401DB"/>
    <w:rsid w:val="00C42AC6"/>
    <w:rsid w:val="00C42CC5"/>
    <w:rsid w:val="00C42E79"/>
    <w:rsid w:val="00C453CA"/>
    <w:rsid w:val="00C51AC5"/>
    <w:rsid w:val="00C523A4"/>
    <w:rsid w:val="00C52410"/>
    <w:rsid w:val="00C55BB0"/>
    <w:rsid w:val="00C55D58"/>
    <w:rsid w:val="00C56A08"/>
    <w:rsid w:val="00C61D7F"/>
    <w:rsid w:val="00C645A5"/>
    <w:rsid w:val="00C7734E"/>
    <w:rsid w:val="00C82706"/>
    <w:rsid w:val="00C82A59"/>
    <w:rsid w:val="00C837C8"/>
    <w:rsid w:val="00C87016"/>
    <w:rsid w:val="00C87017"/>
    <w:rsid w:val="00C8752A"/>
    <w:rsid w:val="00C87C09"/>
    <w:rsid w:val="00C910F4"/>
    <w:rsid w:val="00C92F15"/>
    <w:rsid w:val="00C93119"/>
    <w:rsid w:val="00C95248"/>
    <w:rsid w:val="00C95CB5"/>
    <w:rsid w:val="00C95E4E"/>
    <w:rsid w:val="00C95EDC"/>
    <w:rsid w:val="00C96108"/>
    <w:rsid w:val="00C97029"/>
    <w:rsid w:val="00C9717D"/>
    <w:rsid w:val="00C97429"/>
    <w:rsid w:val="00CA0A36"/>
    <w:rsid w:val="00CA0FB7"/>
    <w:rsid w:val="00CA13B1"/>
    <w:rsid w:val="00CA2F72"/>
    <w:rsid w:val="00CA3B94"/>
    <w:rsid w:val="00CA59DE"/>
    <w:rsid w:val="00CA5A05"/>
    <w:rsid w:val="00CA6A76"/>
    <w:rsid w:val="00CA7734"/>
    <w:rsid w:val="00CB0D81"/>
    <w:rsid w:val="00CB2C07"/>
    <w:rsid w:val="00CB399B"/>
    <w:rsid w:val="00CB4942"/>
    <w:rsid w:val="00CB78CF"/>
    <w:rsid w:val="00CC283E"/>
    <w:rsid w:val="00CC2DD1"/>
    <w:rsid w:val="00CC44E1"/>
    <w:rsid w:val="00CC51A1"/>
    <w:rsid w:val="00CC52F1"/>
    <w:rsid w:val="00CC5798"/>
    <w:rsid w:val="00CC59CB"/>
    <w:rsid w:val="00CC7632"/>
    <w:rsid w:val="00CD1DF0"/>
    <w:rsid w:val="00CD24C7"/>
    <w:rsid w:val="00CD2707"/>
    <w:rsid w:val="00CD2FE3"/>
    <w:rsid w:val="00CD4B5B"/>
    <w:rsid w:val="00CD63BE"/>
    <w:rsid w:val="00CD68B7"/>
    <w:rsid w:val="00CD6A25"/>
    <w:rsid w:val="00CD7B3C"/>
    <w:rsid w:val="00CD7D80"/>
    <w:rsid w:val="00CD7E5D"/>
    <w:rsid w:val="00CE0E1C"/>
    <w:rsid w:val="00CE5873"/>
    <w:rsid w:val="00CF13F0"/>
    <w:rsid w:val="00CF14E7"/>
    <w:rsid w:val="00CF2DCA"/>
    <w:rsid w:val="00CF57D1"/>
    <w:rsid w:val="00CF6310"/>
    <w:rsid w:val="00CF6C2D"/>
    <w:rsid w:val="00D0135E"/>
    <w:rsid w:val="00D02360"/>
    <w:rsid w:val="00D03D94"/>
    <w:rsid w:val="00D0446D"/>
    <w:rsid w:val="00D04DEE"/>
    <w:rsid w:val="00D058F2"/>
    <w:rsid w:val="00D07407"/>
    <w:rsid w:val="00D07814"/>
    <w:rsid w:val="00D07D6B"/>
    <w:rsid w:val="00D111F9"/>
    <w:rsid w:val="00D125AA"/>
    <w:rsid w:val="00D14746"/>
    <w:rsid w:val="00D151B2"/>
    <w:rsid w:val="00D16B2B"/>
    <w:rsid w:val="00D20D36"/>
    <w:rsid w:val="00D223AB"/>
    <w:rsid w:val="00D22E25"/>
    <w:rsid w:val="00D23658"/>
    <w:rsid w:val="00D26858"/>
    <w:rsid w:val="00D27FF6"/>
    <w:rsid w:val="00D30F38"/>
    <w:rsid w:val="00D3279E"/>
    <w:rsid w:val="00D337A8"/>
    <w:rsid w:val="00D33EC8"/>
    <w:rsid w:val="00D435FD"/>
    <w:rsid w:val="00D4437B"/>
    <w:rsid w:val="00D4548E"/>
    <w:rsid w:val="00D46D9A"/>
    <w:rsid w:val="00D46DA1"/>
    <w:rsid w:val="00D47A86"/>
    <w:rsid w:val="00D50962"/>
    <w:rsid w:val="00D50E02"/>
    <w:rsid w:val="00D51A79"/>
    <w:rsid w:val="00D5234C"/>
    <w:rsid w:val="00D53996"/>
    <w:rsid w:val="00D53C0D"/>
    <w:rsid w:val="00D53DD9"/>
    <w:rsid w:val="00D568D5"/>
    <w:rsid w:val="00D621DB"/>
    <w:rsid w:val="00D62EAF"/>
    <w:rsid w:val="00D636DA"/>
    <w:rsid w:val="00D63869"/>
    <w:rsid w:val="00D639C6"/>
    <w:rsid w:val="00D65B4D"/>
    <w:rsid w:val="00D65EE9"/>
    <w:rsid w:val="00D65FAE"/>
    <w:rsid w:val="00D66059"/>
    <w:rsid w:val="00D66A92"/>
    <w:rsid w:val="00D67E91"/>
    <w:rsid w:val="00D70818"/>
    <w:rsid w:val="00D71190"/>
    <w:rsid w:val="00D7124E"/>
    <w:rsid w:val="00D7136A"/>
    <w:rsid w:val="00D71CE0"/>
    <w:rsid w:val="00D721AE"/>
    <w:rsid w:val="00D72BDE"/>
    <w:rsid w:val="00D733A5"/>
    <w:rsid w:val="00D74192"/>
    <w:rsid w:val="00D75577"/>
    <w:rsid w:val="00D80814"/>
    <w:rsid w:val="00D81723"/>
    <w:rsid w:val="00D825C6"/>
    <w:rsid w:val="00D85693"/>
    <w:rsid w:val="00D90CB1"/>
    <w:rsid w:val="00D9157D"/>
    <w:rsid w:val="00D91A19"/>
    <w:rsid w:val="00D930B8"/>
    <w:rsid w:val="00D94546"/>
    <w:rsid w:val="00D975BC"/>
    <w:rsid w:val="00D97E54"/>
    <w:rsid w:val="00DA034F"/>
    <w:rsid w:val="00DA1500"/>
    <w:rsid w:val="00DA1B60"/>
    <w:rsid w:val="00DA3582"/>
    <w:rsid w:val="00DA44F1"/>
    <w:rsid w:val="00DB1161"/>
    <w:rsid w:val="00DB2061"/>
    <w:rsid w:val="00DB384C"/>
    <w:rsid w:val="00DB3B2C"/>
    <w:rsid w:val="00DB3E90"/>
    <w:rsid w:val="00DB618B"/>
    <w:rsid w:val="00DB6B1B"/>
    <w:rsid w:val="00DB79FD"/>
    <w:rsid w:val="00DB7C9F"/>
    <w:rsid w:val="00DC0303"/>
    <w:rsid w:val="00DC43B1"/>
    <w:rsid w:val="00DC6BB7"/>
    <w:rsid w:val="00DC7212"/>
    <w:rsid w:val="00DD10BA"/>
    <w:rsid w:val="00DD2A3A"/>
    <w:rsid w:val="00DD399E"/>
    <w:rsid w:val="00DD49F6"/>
    <w:rsid w:val="00DD49F9"/>
    <w:rsid w:val="00DD579C"/>
    <w:rsid w:val="00DD57EA"/>
    <w:rsid w:val="00DD7280"/>
    <w:rsid w:val="00DE4AD6"/>
    <w:rsid w:val="00DE4FFC"/>
    <w:rsid w:val="00DE507C"/>
    <w:rsid w:val="00DE5D54"/>
    <w:rsid w:val="00DE6C1C"/>
    <w:rsid w:val="00DF0AAB"/>
    <w:rsid w:val="00DF12D7"/>
    <w:rsid w:val="00DF3B5B"/>
    <w:rsid w:val="00DF405D"/>
    <w:rsid w:val="00DF5C82"/>
    <w:rsid w:val="00DF6275"/>
    <w:rsid w:val="00DF76EB"/>
    <w:rsid w:val="00DF7A02"/>
    <w:rsid w:val="00DF7C6D"/>
    <w:rsid w:val="00E0213D"/>
    <w:rsid w:val="00E04978"/>
    <w:rsid w:val="00E04FEC"/>
    <w:rsid w:val="00E10961"/>
    <w:rsid w:val="00E10DA6"/>
    <w:rsid w:val="00E1161A"/>
    <w:rsid w:val="00E134F2"/>
    <w:rsid w:val="00E13D5D"/>
    <w:rsid w:val="00E140AF"/>
    <w:rsid w:val="00E15F22"/>
    <w:rsid w:val="00E16886"/>
    <w:rsid w:val="00E16CD5"/>
    <w:rsid w:val="00E16DAA"/>
    <w:rsid w:val="00E17072"/>
    <w:rsid w:val="00E17518"/>
    <w:rsid w:val="00E200AF"/>
    <w:rsid w:val="00E20477"/>
    <w:rsid w:val="00E20C21"/>
    <w:rsid w:val="00E219C8"/>
    <w:rsid w:val="00E236DD"/>
    <w:rsid w:val="00E263F0"/>
    <w:rsid w:val="00E2641F"/>
    <w:rsid w:val="00E272C2"/>
    <w:rsid w:val="00E27A71"/>
    <w:rsid w:val="00E306EA"/>
    <w:rsid w:val="00E32312"/>
    <w:rsid w:val="00E3662B"/>
    <w:rsid w:val="00E401D2"/>
    <w:rsid w:val="00E410E6"/>
    <w:rsid w:val="00E4156B"/>
    <w:rsid w:val="00E420F3"/>
    <w:rsid w:val="00E42E3C"/>
    <w:rsid w:val="00E44A79"/>
    <w:rsid w:val="00E44FFD"/>
    <w:rsid w:val="00E458E3"/>
    <w:rsid w:val="00E47A50"/>
    <w:rsid w:val="00E5039C"/>
    <w:rsid w:val="00E51C07"/>
    <w:rsid w:val="00E5218D"/>
    <w:rsid w:val="00E5368B"/>
    <w:rsid w:val="00E54255"/>
    <w:rsid w:val="00E54913"/>
    <w:rsid w:val="00E54CB6"/>
    <w:rsid w:val="00E56B7C"/>
    <w:rsid w:val="00E56CB4"/>
    <w:rsid w:val="00E6013A"/>
    <w:rsid w:val="00E620F4"/>
    <w:rsid w:val="00E62C9D"/>
    <w:rsid w:val="00E63917"/>
    <w:rsid w:val="00E65702"/>
    <w:rsid w:val="00E65EC3"/>
    <w:rsid w:val="00E6638D"/>
    <w:rsid w:val="00E67E5B"/>
    <w:rsid w:val="00E7106F"/>
    <w:rsid w:val="00E711DF"/>
    <w:rsid w:val="00E7152D"/>
    <w:rsid w:val="00E71AE3"/>
    <w:rsid w:val="00E72BB1"/>
    <w:rsid w:val="00E72C52"/>
    <w:rsid w:val="00E72F11"/>
    <w:rsid w:val="00E73A4D"/>
    <w:rsid w:val="00E7425D"/>
    <w:rsid w:val="00E74427"/>
    <w:rsid w:val="00E75EDD"/>
    <w:rsid w:val="00E76C43"/>
    <w:rsid w:val="00E76C6E"/>
    <w:rsid w:val="00E77C4C"/>
    <w:rsid w:val="00E77FDD"/>
    <w:rsid w:val="00E828D0"/>
    <w:rsid w:val="00E82FBD"/>
    <w:rsid w:val="00E8388E"/>
    <w:rsid w:val="00E87735"/>
    <w:rsid w:val="00E87FB4"/>
    <w:rsid w:val="00E91F38"/>
    <w:rsid w:val="00E9218C"/>
    <w:rsid w:val="00E92771"/>
    <w:rsid w:val="00E92C46"/>
    <w:rsid w:val="00E93691"/>
    <w:rsid w:val="00E95C81"/>
    <w:rsid w:val="00E95F24"/>
    <w:rsid w:val="00E96DD1"/>
    <w:rsid w:val="00E96F5F"/>
    <w:rsid w:val="00E979D5"/>
    <w:rsid w:val="00E97F21"/>
    <w:rsid w:val="00EA011C"/>
    <w:rsid w:val="00EA159D"/>
    <w:rsid w:val="00EA199E"/>
    <w:rsid w:val="00EA30C7"/>
    <w:rsid w:val="00EA457D"/>
    <w:rsid w:val="00EA47C5"/>
    <w:rsid w:val="00EA5EF0"/>
    <w:rsid w:val="00EA7B76"/>
    <w:rsid w:val="00EB053E"/>
    <w:rsid w:val="00EB11C5"/>
    <w:rsid w:val="00EB2906"/>
    <w:rsid w:val="00EB416C"/>
    <w:rsid w:val="00EB5750"/>
    <w:rsid w:val="00EB5BB6"/>
    <w:rsid w:val="00EB62FE"/>
    <w:rsid w:val="00EB6AAA"/>
    <w:rsid w:val="00EC0E29"/>
    <w:rsid w:val="00EC2250"/>
    <w:rsid w:val="00EC3831"/>
    <w:rsid w:val="00EC3E8A"/>
    <w:rsid w:val="00EC4018"/>
    <w:rsid w:val="00EC5335"/>
    <w:rsid w:val="00ED0068"/>
    <w:rsid w:val="00ED1207"/>
    <w:rsid w:val="00ED20CD"/>
    <w:rsid w:val="00ED430E"/>
    <w:rsid w:val="00ED5AEA"/>
    <w:rsid w:val="00EE0AA7"/>
    <w:rsid w:val="00EE2B21"/>
    <w:rsid w:val="00EE36DF"/>
    <w:rsid w:val="00EE3B18"/>
    <w:rsid w:val="00EE44EE"/>
    <w:rsid w:val="00EE47B8"/>
    <w:rsid w:val="00EF2866"/>
    <w:rsid w:val="00EF327A"/>
    <w:rsid w:val="00EF3550"/>
    <w:rsid w:val="00EF3B7E"/>
    <w:rsid w:val="00EF3DF0"/>
    <w:rsid w:val="00EF44AB"/>
    <w:rsid w:val="00EF48BD"/>
    <w:rsid w:val="00EF5B80"/>
    <w:rsid w:val="00EF5C44"/>
    <w:rsid w:val="00EF7421"/>
    <w:rsid w:val="00EF7523"/>
    <w:rsid w:val="00EF7804"/>
    <w:rsid w:val="00EF7C2C"/>
    <w:rsid w:val="00F0581A"/>
    <w:rsid w:val="00F06B34"/>
    <w:rsid w:val="00F12E7A"/>
    <w:rsid w:val="00F16C58"/>
    <w:rsid w:val="00F21166"/>
    <w:rsid w:val="00F23E23"/>
    <w:rsid w:val="00F24293"/>
    <w:rsid w:val="00F24602"/>
    <w:rsid w:val="00F26307"/>
    <w:rsid w:val="00F273F6"/>
    <w:rsid w:val="00F27D5A"/>
    <w:rsid w:val="00F31F75"/>
    <w:rsid w:val="00F33010"/>
    <w:rsid w:val="00F33874"/>
    <w:rsid w:val="00F344BF"/>
    <w:rsid w:val="00F353A6"/>
    <w:rsid w:val="00F356CA"/>
    <w:rsid w:val="00F35881"/>
    <w:rsid w:val="00F35A5B"/>
    <w:rsid w:val="00F37AB4"/>
    <w:rsid w:val="00F4071A"/>
    <w:rsid w:val="00F43C57"/>
    <w:rsid w:val="00F43E42"/>
    <w:rsid w:val="00F44A8E"/>
    <w:rsid w:val="00F474E0"/>
    <w:rsid w:val="00F5101A"/>
    <w:rsid w:val="00F5270A"/>
    <w:rsid w:val="00F52A24"/>
    <w:rsid w:val="00F52DB8"/>
    <w:rsid w:val="00F6017C"/>
    <w:rsid w:val="00F60DD4"/>
    <w:rsid w:val="00F60E55"/>
    <w:rsid w:val="00F61C58"/>
    <w:rsid w:val="00F63DD9"/>
    <w:rsid w:val="00F654CA"/>
    <w:rsid w:val="00F7048F"/>
    <w:rsid w:val="00F70C15"/>
    <w:rsid w:val="00F70D0E"/>
    <w:rsid w:val="00F73787"/>
    <w:rsid w:val="00F739A9"/>
    <w:rsid w:val="00F73ACC"/>
    <w:rsid w:val="00F754EA"/>
    <w:rsid w:val="00F75BE5"/>
    <w:rsid w:val="00F80D78"/>
    <w:rsid w:val="00F840CC"/>
    <w:rsid w:val="00F8506D"/>
    <w:rsid w:val="00F8556F"/>
    <w:rsid w:val="00F85FA8"/>
    <w:rsid w:val="00F8657F"/>
    <w:rsid w:val="00F86815"/>
    <w:rsid w:val="00F86B59"/>
    <w:rsid w:val="00F86BA5"/>
    <w:rsid w:val="00F87F8C"/>
    <w:rsid w:val="00F91278"/>
    <w:rsid w:val="00F92EA8"/>
    <w:rsid w:val="00F93369"/>
    <w:rsid w:val="00F95C68"/>
    <w:rsid w:val="00F95E65"/>
    <w:rsid w:val="00F95EAD"/>
    <w:rsid w:val="00F963CF"/>
    <w:rsid w:val="00F9756F"/>
    <w:rsid w:val="00FA225D"/>
    <w:rsid w:val="00FA39D5"/>
    <w:rsid w:val="00FA42AD"/>
    <w:rsid w:val="00FA4504"/>
    <w:rsid w:val="00FA6989"/>
    <w:rsid w:val="00FB0B76"/>
    <w:rsid w:val="00FB2D74"/>
    <w:rsid w:val="00FB307C"/>
    <w:rsid w:val="00FB45D0"/>
    <w:rsid w:val="00FB5507"/>
    <w:rsid w:val="00FB6031"/>
    <w:rsid w:val="00FB64FA"/>
    <w:rsid w:val="00FB7016"/>
    <w:rsid w:val="00FC002B"/>
    <w:rsid w:val="00FC077E"/>
    <w:rsid w:val="00FC1508"/>
    <w:rsid w:val="00FC1A14"/>
    <w:rsid w:val="00FC39B6"/>
    <w:rsid w:val="00FC72E9"/>
    <w:rsid w:val="00FD17DB"/>
    <w:rsid w:val="00FD1C84"/>
    <w:rsid w:val="00FD2D1F"/>
    <w:rsid w:val="00FD38CD"/>
    <w:rsid w:val="00FD3A31"/>
    <w:rsid w:val="00FD44E7"/>
    <w:rsid w:val="00FD4746"/>
    <w:rsid w:val="00FD5C28"/>
    <w:rsid w:val="00FD60AE"/>
    <w:rsid w:val="00FD6DD0"/>
    <w:rsid w:val="00FD71B1"/>
    <w:rsid w:val="00FD7857"/>
    <w:rsid w:val="00FE0FE7"/>
    <w:rsid w:val="00FE3504"/>
    <w:rsid w:val="00FE3989"/>
    <w:rsid w:val="00FE3DB8"/>
    <w:rsid w:val="00FE4024"/>
    <w:rsid w:val="00FE423B"/>
    <w:rsid w:val="00FE46B3"/>
    <w:rsid w:val="00FE48FC"/>
    <w:rsid w:val="00FE565F"/>
    <w:rsid w:val="00FE640A"/>
    <w:rsid w:val="00FE7B9C"/>
    <w:rsid w:val="00FE7BFD"/>
    <w:rsid w:val="00FE7FF6"/>
    <w:rsid w:val="00FF0DE4"/>
    <w:rsid w:val="00FF4908"/>
    <w:rsid w:val="00FF4B3D"/>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3850AFDC-FE58-4BD4-BB1D-0929AB77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Revision">
    <w:name w:val="Revision"/>
    <w:hidden/>
    <w:uiPriority w:val="99"/>
    <w:semiHidden/>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locked/>
    <w:rPr>
      <w:b/>
      <w:bC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3Char">
    <w:name w:val="Heading 3 Char"/>
    <w:basedOn w:val="DefaultParagraphFont"/>
    <w:link w:val="Heading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5C90540D-6B79-46C2-9AD6-D6CEBA7DA97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82</Pages>
  <Words>19342</Words>
  <Characters>110251</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AP</vt:lpstr>
    </vt:vector>
  </TitlesOfParts>
  <Company>Microsoft</Company>
  <LinksUpToDate>false</LinksUpToDate>
  <CharactersWithSpaces>129335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dc:title>
  <dc:subject/>
  <dc:creator>Rocio</dc:creator>
  <cp:keywords/>
  <dc:description/>
  <cp:lastModifiedBy>Archuleta, Tammy J.</cp:lastModifiedBy>
  <cp:revision>2</cp:revision>
  <dcterms:created xsi:type="dcterms:W3CDTF">2025-07-16T12:22:00Z</dcterms:created>
  <dcterms:modified xsi:type="dcterms:W3CDTF">2025-07-16T12:22:00Z</dcterms:modified>
</cp:coreProperties>
</file>